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34442" w14:textId="77777777" w:rsidR="009D1CAA" w:rsidRPr="004B3CBE" w:rsidRDefault="004967AC" w:rsidP="002937EE">
      <w:pPr>
        <w:jc w:val="center"/>
        <w:rPr>
          <w:b/>
          <w:sz w:val="28"/>
          <w:szCs w:val="28"/>
        </w:rPr>
      </w:pPr>
      <w:r w:rsidRPr="004B3CBE">
        <w:rPr>
          <w:b/>
          <w:sz w:val="28"/>
          <w:szCs w:val="28"/>
        </w:rPr>
        <w:t>Achievement First Dean of Special Services Roles and Responsibilities</w:t>
      </w:r>
    </w:p>
    <w:p w14:paraId="75A82A74" w14:textId="436668CA" w:rsidR="00D50773" w:rsidRDefault="00F446B0" w:rsidP="00A11CB5">
      <w:pPr>
        <w:spacing w:after="0" w:line="240" w:lineRule="auto"/>
      </w:pPr>
      <w:r>
        <w:t xml:space="preserve"> “We believe </w:t>
      </w:r>
      <w:r w:rsidR="00F16523">
        <w:t>all</w:t>
      </w:r>
      <w:r>
        <w:t xml:space="preserve"> students can achieve</w:t>
      </w:r>
      <w:r w:rsidR="001C02A2">
        <w:t>…</w:t>
      </w:r>
      <w:r>
        <w:t xml:space="preserve"> if they have access to a great education.”  The role of the Dean of Special Services is to </w:t>
      </w:r>
      <w:r w:rsidR="001B0C03">
        <w:t xml:space="preserve">ensure </w:t>
      </w:r>
      <w:r w:rsidR="00F16523">
        <w:t xml:space="preserve">that </w:t>
      </w:r>
      <w:r>
        <w:t>“</w:t>
      </w:r>
      <w:r w:rsidR="00F16523">
        <w:t>all</w:t>
      </w:r>
      <w:r>
        <w:t>”</w:t>
      </w:r>
      <w:r w:rsidR="007B053B">
        <w:t xml:space="preserve"> </w:t>
      </w:r>
      <w:r w:rsidR="00F16523">
        <w:t xml:space="preserve">truly </w:t>
      </w:r>
      <w:r w:rsidR="007B053B">
        <w:t>means ALL</w:t>
      </w:r>
      <w:r>
        <w:t xml:space="preserve">.  The Dean of Special Services works deliberately </w:t>
      </w:r>
      <w:r w:rsidR="00A11CB5">
        <w:t xml:space="preserve">with teachers and fellow deans </w:t>
      </w:r>
      <w:r>
        <w:t xml:space="preserve">to </w:t>
      </w:r>
      <w:r w:rsidR="00A11CB5">
        <w:t>implement</w:t>
      </w:r>
      <w:r>
        <w:t xml:space="preserve"> systems of support which ensure </w:t>
      </w:r>
      <w:r w:rsidR="00F16523">
        <w:t xml:space="preserve">each Achievement </w:t>
      </w:r>
      <w:bookmarkStart w:id="0" w:name="_GoBack"/>
      <w:bookmarkEnd w:id="0"/>
      <w:r w:rsidR="00F16523">
        <w:t xml:space="preserve">First student is able to shine </w:t>
      </w:r>
      <w:r>
        <w:t xml:space="preserve">academically and behaviorally.  </w:t>
      </w:r>
      <w:r w:rsidR="007B053B">
        <w:t>A</w:t>
      </w:r>
      <w:r w:rsidR="0014659A">
        <w:t xml:space="preserve">ll </w:t>
      </w:r>
      <w:r w:rsidR="00F16523">
        <w:t xml:space="preserve">of </w:t>
      </w:r>
      <w:r w:rsidR="0014659A">
        <w:t xml:space="preserve">this </w:t>
      </w:r>
      <w:r w:rsidR="00F16523">
        <w:t xml:space="preserve">critical </w:t>
      </w:r>
      <w:r w:rsidR="0014659A">
        <w:t xml:space="preserve">work is done in a way that reduces risk and promotes authentic </w:t>
      </w:r>
      <w:r w:rsidR="00A11CB5">
        <w:t xml:space="preserve">legal </w:t>
      </w:r>
      <w:r w:rsidR="0014659A">
        <w:t xml:space="preserve">compliance. </w:t>
      </w:r>
    </w:p>
    <w:p w14:paraId="528519F7" w14:textId="77777777" w:rsidR="00A11CB5" w:rsidRDefault="00A11CB5" w:rsidP="00A11CB5">
      <w:pPr>
        <w:spacing w:after="0" w:line="240" w:lineRule="auto"/>
        <w:rPr>
          <w:b/>
        </w:rPr>
      </w:pPr>
    </w:p>
    <w:p w14:paraId="4F3419C9" w14:textId="1D864C0F" w:rsidR="00AA39ED" w:rsidRDefault="00AA39ED" w:rsidP="00A11CB5">
      <w:pPr>
        <w:spacing w:after="0" w:line="240" w:lineRule="auto"/>
      </w:pPr>
      <w:r w:rsidRPr="00AA39ED">
        <w:rPr>
          <w:b/>
        </w:rPr>
        <w:t>Special Services Roles and Responsibilities Readiness Task</w:t>
      </w:r>
      <w:r w:rsidR="00A11CB5">
        <w:rPr>
          <w:b/>
        </w:rPr>
        <w:t xml:space="preserve"> (Owner: Principal)</w:t>
      </w:r>
      <w:r>
        <w:rPr>
          <w:b/>
        </w:rPr>
        <w:t xml:space="preserve"> </w:t>
      </w:r>
      <w:r w:rsidR="00A21582" w:rsidRPr="00A21582">
        <w:rPr>
          <w:highlight w:val="yellow"/>
        </w:rPr>
        <w:t>&lt; Due 5/23</w:t>
      </w:r>
      <w:r w:rsidR="00D50773" w:rsidRPr="00A21582">
        <w:rPr>
          <w:highlight w:val="yellow"/>
        </w:rPr>
        <w:t>&gt;</w:t>
      </w:r>
      <w:r w:rsidR="00D50773">
        <w:t xml:space="preserve">  </w:t>
      </w:r>
    </w:p>
    <w:p w14:paraId="20C6BB0D" w14:textId="1618B1FC" w:rsidR="00D50773" w:rsidRDefault="00842ED8" w:rsidP="00A11CB5">
      <w:pPr>
        <w:spacing w:after="0" w:line="240" w:lineRule="auto"/>
      </w:pPr>
      <w:r>
        <w:t>By 5/23, r</w:t>
      </w:r>
      <w:r w:rsidR="00AA39ED">
        <w:t xml:space="preserve">eview the four areas of special service work and name the </w:t>
      </w:r>
      <w:r w:rsidR="00F16523">
        <w:t>school-</w:t>
      </w:r>
      <w:r w:rsidR="00A11CB5">
        <w:t>based leader</w:t>
      </w:r>
      <w:r w:rsidR="00AA39ED">
        <w:t xml:space="preserve"> who will</w:t>
      </w:r>
      <w:r w:rsidR="00DF2124">
        <w:t xml:space="preserve"> be responsible for</w:t>
      </w:r>
      <w:r w:rsidR="00AA39ED">
        <w:t xml:space="preserve"> </w:t>
      </w:r>
      <w:r w:rsidR="00785D64">
        <w:t xml:space="preserve">each </w:t>
      </w:r>
      <w:r w:rsidR="00F16523">
        <w:t xml:space="preserve">of </w:t>
      </w:r>
      <w:r w:rsidR="00AA39ED">
        <w:t xml:space="preserve">these areas.  </w:t>
      </w:r>
      <w:r w:rsidR="00A11CB5">
        <w:t xml:space="preserve">(In most cases, a Dean of Special Services owns all four responsibilities.)  </w:t>
      </w:r>
      <w:r w:rsidR="00785D64">
        <w:t>The</w:t>
      </w:r>
      <w:r w:rsidR="00AA39ED">
        <w:t xml:space="preserve"> </w:t>
      </w:r>
      <w:r w:rsidR="00785D64">
        <w:t>four</w:t>
      </w:r>
      <w:r w:rsidR="00AA39ED">
        <w:t xml:space="preserve"> areas of core responsibility</w:t>
      </w:r>
      <w:r w:rsidR="00D50773">
        <w:t xml:space="preserve"> of special services work </w:t>
      </w:r>
      <w:r w:rsidR="00D50773" w:rsidRPr="00D50773">
        <w:rPr>
          <w:b/>
          <w:u w:val="single"/>
        </w:rPr>
        <w:t>at the school</w:t>
      </w:r>
      <w:r w:rsidR="00785D64">
        <w:t xml:space="preserve"> are</w:t>
      </w:r>
      <w:r w:rsidR="00D50773">
        <w:t>:</w:t>
      </w:r>
    </w:p>
    <w:p w14:paraId="0302A4F0" w14:textId="54D79860" w:rsidR="00D50773" w:rsidRDefault="009656A8" w:rsidP="00A11CB5">
      <w:pPr>
        <w:pStyle w:val="ListParagraph"/>
        <w:numPr>
          <w:ilvl w:val="1"/>
          <w:numId w:val="8"/>
        </w:numPr>
        <w:spacing w:after="0" w:line="240" w:lineRule="auto"/>
      </w:pPr>
      <w:r>
        <w:t xml:space="preserve">Talent Development: </w:t>
      </w:r>
      <w:r w:rsidR="00D50773">
        <w:t>Manag</w:t>
      </w:r>
      <w:r w:rsidR="00F16523">
        <w:t xml:space="preserve">e, Lead and Develop </w:t>
      </w:r>
      <w:r w:rsidR="008434C3">
        <w:t>the Special Educator/</w:t>
      </w:r>
      <w:r w:rsidR="00D50773">
        <w:t>Learning Specialist Team</w:t>
      </w:r>
    </w:p>
    <w:p w14:paraId="177E3C0B" w14:textId="604CBB60" w:rsidR="00D50773" w:rsidRDefault="009656A8" w:rsidP="00A11CB5">
      <w:pPr>
        <w:pStyle w:val="ListParagraph"/>
        <w:numPr>
          <w:ilvl w:val="1"/>
          <w:numId w:val="8"/>
        </w:numPr>
        <w:spacing w:after="0" w:line="240" w:lineRule="auto"/>
      </w:pPr>
      <w:r>
        <w:t xml:space="preserve">Authentic Compliance: </w:t>
      </w:r>
      <w:r w:rsidR="00D50773">
        <w:t>Manage IEPs, 504s, and ELLs</w:t>
      </w:r>
      <w:r w:rsidR="00F16523">
        <w:t>, including District Relationships</w:t>
      </w:r>
    </w:p>
    <w:p w14:paraId="60D235F5" w14:textId="0E4B232A" w:rsidR="00D50773" w:rsidRDefault="00D50773" w:rsidP="00A11CB5">
      <w:pPr>
        <w:pStyle w:val="ListParagraph"/>
        <w:numPr>
          <w:ilvl w:val="1"/>
          <w:numId w:val="8"/>
        </w:numPr>
        <w:spacing w:after="0" w:line="240" w:lineRule="auto"/>
      </w:pPr>
      <w:r>
        <w:t>Academic Intervention</w:t>
      </w:r>
      <w:r w:rsidR="00F16523">
        <w:t>: Oversee the Program through</w:t>
      </w:r>
      <w:r>
        <w:t xml:space="preserve"> </w:t>
      </w:r>
      <w:r w:rsidR="00F16523">
        <w:t xml:space="preserve">Triggering </w:t>
      </w:r>
      <w:r>
        <w:t>Child Find</w:t>
      </w:r>
    </w:p>
    <w:p w14:paraId="7B6CDF2D" w14:textId="6D5B0621" w:rsidR="00D50773" w:rsidRDefault="00D50773" w:rsidP="00A11CB5">
      <w:pPr>
        <w:pStyle w:val="ListParagraph"/>
        <w:numPr>
          <w:ilvl w:val="1"/>
          <w:numId w:val="8"/>
        </w:numPr>
        <w:spacing w:after="0" w:line="240" w:lineRule="auto"/>
      </w:pPr>
      <w:r>
        <w:t>Behavior Intervention</w:t>
      </w:r>
      <w:r w:rsidR="00F16523">
        <w:t>: Oversee the Program through T</w:t>
      </w:r>
      <w:r>
        <w:t>riggering Child Find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5845"/>
      </w:tblGrid>
      <w:tr w:rsidR="00A11CB5" w14:paraId="29FBE506" w14:textId="77777777" w:rsidTr="00A11CB5">
        <w:tc>
          <w:tcPr>
            <w:tcW w:w="8545" w:type="dxa"/>
            <w:shd w:val="clear" w:color="auto" w:fill="A8D08D" w:themeFill="accent6" w:themeFillTint="99"/>
          </w:tcPr>
          <w:p w14:paraId="5FA93E86" w14:textId="77777777" w:rsidR="00A11CB5" w:rsidRPr="00AA39ED" w:rsidRDefault="00A11CB5" w:rsidP="00791C6E">
            <w:pPr>
              <w:jc w:val="center"/>
              <w:rPr>
                <w:b/>
              </w:rPr>
            </w:pPr>
            <w:r w:rsidRPr="00AA39ED">
              <w:rPr>
                <w:b/>
              </w:rPr>
              <w:t>Area of Core Responsibility</w:t>
            </w:r>
          </w:p>
        </w:tc>
        <w:tc>
          <w:tcPr>
            <w:tcW w:w="5845" w:type="dxa"/>
            <w:shd w:val="clear" w:color="auto" w:fill="FFFF00"/>
          </w:tcPr>
          <w:p w14:paraId="7AD073EB" w14:textId="77777777" w:rsidR="00A11CB5" w:rsidRPr="00AA39ED" w:rsidRDefault="00A11CB5" w:rsidP="00791C6E">
            <w:pPr>
              <w:jc w:val="center"/>
              <w:rPr>
                <w:b/>
              </w:rPr>
            </w:pPr>
            <w:r w:rsidRPr="00AA39ED">
              <w:rPr>
                <w:b/>
              </w:rPr>
              <w:t>School Based Owner (This is the person who Team Special Services will begin communicating with directly.)</w:t>
            </w:r>
          </w:p>
        </w:tc>
      </w:tr>
      <w:tr w:rsidR="00A11CB5" w14:paraId="360B0B1C" w14:textId="77777777" w:rsidTr="00DF2124">
        <w:trPr>
          <w:trHeight w:val="278"/>
        </w:trPr>
        <w:tc>
          <w:tcPr>
            <w:tcW w:w="8545" w:type="dxa"/>
            <w:shd w:val="clear" w:color="auto" w:fill="FFFFFF" w:themeFill="background1"/>
          </w:tcPr>
          <w:p w14:paraId="3F8DEB53" w14:textId="52B863F3" w:rsidR="00A11CB5" w:rsidRDefault="00A11CB5" w:rsidP="00791C6E">
            <w:r>
              <w:t xml:space="preserve">Talent Developer: </w:t>
            </w:r>
            <w:r w:rsidR="00F16523">
              <w:t xml:space="preserve">Manage, Lead and Develop </w:t>
            </w:r>
            <w:r w:rsidR="008434C3">
              <w:t>the Special Educator/</w:t>
            </w:r>
            <w:r w:rsidR="00F16523">
              <w:t>Learning Specialist Team</w:t>
            </w:r>
          </w:p>
        </w:tc>
        <w:tc>
          <w:tcPr>
            <w:tcW w:w="5845" w:type="dxa"/>
            <w:shd w:val="clear" w:color="auto" w:fill="FFFF00"/>
          </w:tcPr>
          <w:p w14:paraId="4289A851" w14:textId="77777777" w:rsidR="00A11CB5" w:rsidRDefault="00A11CB5" w:rsidP="00791C6E"/>
        </w:tc>
      </w:tr>
      <w:tr w:rsidR="00A11CB5" w14:paraId="08CDE5BF" w14:textId="77777777" w:rsidTr="00A11CB5">
        <w:tc>
          <w:tcPr>
            <w:tcW w:w="8545" w:type="dxa"/>
            <w:shd w:val="clear" w:color="auto" w:fill="FFFFFF" w:themeFill="background1"/>
          </w:tcPr>
          <w:p w14:paraId="60B60949" w14:textId="1EB09ADB" w:rsidR="00A11CB5" w:rsidRDefault="00F16523" w:rsidP="00791C6E">
            <w:r>
              <w:t>Authentic Compliance: Manage IEPs, 504s, and ELLs, including District Relationships</w:t>
            </w:r>
          </w:p>
        </w:tc>
        <w:tc>
          <w:tcPr>
            <w:tcW w:w="5845" w:type="dxa"/>
            <w:shd w:val="clear" w:color="auto" w:fill="FFFF00"/>
          </w:tcPr>
          <w:p w14:paraId="428F26BD" w14:textId="77777777" w:rsidR="00A11CB5" w:rsidRDefault="00A11CB5" w:rsidP="00791C6E"/>
        </w:tc>
      </w:tr>
      <w:tr w:rsidR="00A11CB5" w14:paraId="53D457EF" w14:textId="77777777" w:rsidTr="00A11CB5">
        <w:tc>
          <w:tcPr>
            <w:tcW w:w="8545" w:type="dxa"/>
            <w:shd w:val="clear" w:color="auto" w:fill="FFFFFF" w:themeFill="background1"/>
          </w:tcPr>
          <w:p w14:paraId="5DF395FE" w14:textId="3F82F38B" w:rsidR="00A11CB5" w:rsidRDefault="00F16523" w:rsidP="00791C6E">
            <w:r>
              <w:t>Academic Intervention: Oversee the Program through Triggering Child Find</w:t>
            </w:r>
          </w:p>
        </w:tc>
        <w:tc>
          <w:tcPr>
            <w:tcW w:w="5845" w:type="dxa"/>
            <w:shd w:val="clear" w:color="auto" w:fill="FFFF00"/>
          </w:tcPr>
          <w:p w14:paraId="64CE27A9" w14:textId="77777777" w:rsidR="00A11CB5" w:rsidRDefault="00A11CB5" w:rsidP="00791C6E"/>
        </w:tc>
      </w:tr>
      <w:tr w:rsidR="00A11CB5" w14:paraId="5A8493F6" w14:textId="77777777" w:rsidTr="00A11CB5">
        <w:tc>
          <w:tcPr>
            <w:tcW w:w="8545" w:type="dxa"/>
            <w:shd w:val="clear" w:color="auto" w:fill="FFFFFF" w:themeFill="background1"/>
          </w:tcPr>
          <w:p w14:paraId="143E47FD" w14:textId="492DFA7C" w:rsidR="00A11CB5" w:rsidRDefault="00F16523" w:rsidP="00F16523">
            <w:r>
              <w:t>Behavior Intervention: Oversee the Program through Triggering Child Find</w:t>
            </w:r>
          </w:p>
        </w:tc>
        <w:tc>
          <w:tcPr>
            <w:tcW w:w="5845" w:type="dxa"/>
            <w:shd w:val="clear" w:color="auto" w:fill="FFFF00"/>
          </w:tcPr>
          <w:p w14:paraId="345C786C" w14:textId="77777777" w:rsidR="00A11CB5" w:rsidRDefault="00A11CB5" w:rsidP="00791C6E"/>
        </w:tc>
      </w:tr>
    </w:tbl>
    <w:p w14:paraId="4E4BBD03" w14:textId="77777777" w:rsidR="00A11CB5" w:rsidRDefault="00A11CB5" w:rsidP="00A11CB5">
      <w:pPr>
        <w:spacing w:after="0" w:line="240" w:lineRule="auto"/>
      </w:pPr>
    </w:p>
    <w:p w14:paraId="34DE46B7" w14:textId="6CD411C6" w:rsidR="00A11CB5" w:rsidRDefault="00A11CB5" w:rsidP="00A11CB5">
      <w:pPr>
        <w:spacing w:after="0" w:line="240" w:lineRule="auto"/>
      </w:pPr>
      <w:r w:rsidRPr="00A11CB5">
        <w:rPr>
          <w:b/>
          <w:u w:val="single"/>
        </w:rPr>
        <w:t>Guiding Principles for Decision Making</w:t>
      </w:r>
      <w:r>
        <w:t>: In most cases,</w:t>
      </w:r>
      <w:r w:rsidR="00C366E5">
        <w:t xml:space="preserve"> </w:t>
      </w:r>
      <w:r>
        <w:t>a Dean of Special Services</w:t>
      </w:r>
      <w:r w:rsidR="008434C3">
        <w:t xml:space="preserve"> is responsible for</w:t>
      </w:r>
      <w:r>
        <w:t xml:space="preserve"> all four </w:t>
      </w:r>
      <w:r w:rsidR="008434C3">
        <w:t xml:space="preserve">large </w:t>
      </w:r>
      <w:r>
        <w:t xml:space="preserve">responsibilities.  However, depending on the configuration of the school leadership team, specific special services core responsibilities may </w:t>
      </w:r>
      <w:r w:rsidR="008434C3">
        <w:t xml:space="preserve">be </w:t>
      </w:r>
      <w:r>
        <w:t xml:space="preserve">owned by other members of the SLT.   </w:t>
      </w:r>
    </w:p>
    <w:p w14:paraId="670B81F0" w14:textId="50DA20C5" w:rsidR="001D55B0" w:rsidRDefault="008434C3" w:rsidP="00A11CB5">
      <w:pPr>
        <w:pStyle w:val="ListParagraph"/>
        <w:numPr>
          <w:ilvl w:val="0"/>
          <w:numId w:val="8"/>
        </w:numPr>
        <w:spacing w:after="0" w:line="240" w:lineRule="auto"/>
      </w:pPr>
      <w:r>
        <w:t>Consider</w:t>
      </w:r>
      <w:r w:rsidR="001D55B0">
        <w:t xml:space="preserve"> the following questions:</w:t>
      </w:r>
    </w:p>
    <w:p w14:paraId="24CD33C1" w14:textId="16B3D215" w:rsidR="001D55B0" w:rsidRPr="001D55B0" w:rsidRDefault="001D55B0" w:rsidP="00A11CB5">
      <w:pPr>
        <w:pStyle w:val="ListParagraph"/>
        <w:numPr>
          <w:ilvl w:val="1"/>
          <w:numId w:val="8"/>
        </w:numPr>
        <w:spacing w:after="0" w:line="240" w:lineRule="auto"/>
      </w:pPr>
      <w:r w:rsidRPr="001D55B0">
        <w:rPr>
          <w:bCs/>
        </w:rPr>
        <w:t xml:space="preserve">What are the skill sets that are needed to </w:t>
      </w:r>
      <w:r w:rsidR="00DF2124">
        <w:rPr>
          <w:bCs/>
        </w:rPr>
        <w:t>manage</w:t>
      </w:r>
      <w:r w:rsidRPr="001D55B0">
        <w:rPr>
          <w:bCs/>
        </w:rPr>
        <w:t xml:space="preserve"> </w:t>
      </w:r>
      <w:r w:rsidR="008434C3">
        <w:rPr>
          <w:bCs/>
        </w:rPr>
        <w:t>each</w:t>
      </w:r>
      <w:r w:rsidRPr="001D55B0">
        <w:rPr>
          <w:bCs/>
        </w:rPr>
        <w:t xml:space="preserve"> core responsibility?</w:t>
      </w:r>
    </w:p>
    <w:p w14:paraId="213865F6" w14:textId="1C724068" w:rsidR="001D55B0" w:rsidRPr="001D55B0" w:rsidRDefault="008434C3" w:rsidP="00A11CB5">
      <w:pPr>
        <w:pStyle w:val="ListParagraph"/>
        <w:numPr>
          <w:ilvl w:val="1"/>
          <w:numId w:val="8"/>
        </w:numPr>
        <w:spacing w:after="0" w:line="240" w:lineRule="auto"/>
      </w:pPr>
      <w:r>
        <w:rPr>
          <w:bCs/>
        </w:rPr>
        <w:t>What other holistic decisions/</w:t>
      </w:r>
      <w:r w:rsidR="001D55B0" w:rsidRPr="001D55B0">
        <w:rPr>
          <w:bCs/>
        </w:rPr>
        <w:t xml:space="preserve">context </w:t>
      </w:r>
      <w:r>
        <w:rPr>
          <w:bCs/>
        </w:rPr>
        <w:t xml:space="preserve">are </w:t>
      </w:r>
      <w:r w:rsidR="001D55B0" w:rsidRPr="001D55B0">
        <w:rPr>
          <w:bCs/>
        </w:rPr>
        <w:t>necessary to figure out who owns this? </w:t>
      </w:r>
    </w:p>
    <w:p w14:paraId="47D7D9C6" w14:textId="0BAC6570" w:rsidR="001D55B0" w:rsidRPr="001D55B0" w:rsidRDefault="001D55B0" w:rsidP="00A11CB5">
      <w:pPr>
        <w:pStyle w:val="ListParagraph"/>
        <w:numPr>
          <w:ilvl w:val="1"/>
          <w:numId w:val="8"/>
        </w:numPr>
        <w:spacing w:after="0" w:line="240" w:lineRule="auto"/>
      </w:pPr>
      <w:r w:rsidRPr="001D55B0">
        <w:rPr>
          <w:bCs/>
        </w:rPr>
        <w:t>What else is on this person’s plate?</w:t>
      </w:r>
    </w:p>
    <w:p w14:paraId="413D13A0" w14:textId="6ED8565D" w:rsidR="00D50773" w:rsidRDefault="00D50773" w:rsidP="00A11CB5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If you have a strong Dean of Special Services, that person </w:t>
      </w:r>
      <w:r w:rsidR="008434C3">
        <w:t xml:space="preserve">will likely be responsible for </w:t>
      </w:r>
      <w:r>
        <w:t xml:space="preserve">all of the following responsibilities.  </w:t>
      </w:r>
      <w:r w:rsidR="001770A9">
        <w:t>H</w:t>
      </w:r>
      <w:r>
        <w:t>owever, in cases where t</w:t>
      </w:r>
      <w:r w:rsidR="008434C3">
        <w:t>here is not yet a single school-</w:t>
      </w:r>
      <w:r>
        <w:t xml:space="preserve">based owner, determine which LT member will </w:t>
      </w:r>
      <w:r w:rsidR="008434C3">
        <w:t>take on the</w:t>
      </w:r>
      <w:r>
        <w:t xml:space="preserve"> special services </w:t>
      </w:r>
      <w:r w:rsidR="001770A9">
        <w:t>responsibilities</w:t>
      </w:r>
      <w:r>
        <w:t xml:space="preserve">. </w:t>
      </w:r>
    </w:p>
    <w:p w14:paraId="2B08EC67" w14:textId="4D79256A" w:rsidR="001770A9" w:rsidRDefault="008434C3" w:rsidP="00A11CB5">
      <w:pPr>
        <w:pStyle w:val="ListParagraph"/>
        <w:numPr>
          <w:ilvl w:val="0"/>
          <w:numId w:val="8"/>
        </w:numPr>
        <w:spacing w:after="0" w:line="240" w:lineRule="auto"/>
      </w:pPr>
      <w:r>
        <w:t>School-</w:t>
      </w:r>
      <w:r w:rsidR="001770A9">
        <w:t xml:space="preserve">based owners will be </w:t>
      </w:r>
      <w:r w:rsidR="00A11CB5">
        <w:t>required to attend</w:t>
      </w:r>
      <w:r w:rsidR="001770A9">
        <w:t xml:space="preserve"> training</w:t>
      </w:r>
      <w:r w:rsidR="001D55B0">
        <w:t xml:space="preserve"> concerning their </w:t>
      </w:r>
      <w:r w:rsidR="00A11CB5">
        <w:t>core responsibilities</w:t>
      </w:r>
      <w:r w:rsidR="001770A9">
        <w:t>.</w:t>
      </w:r>
    </w:p>
    <w:p w14:paraId="3B948A37" w14:textId="77777777" w:rsidR="00C30108" w:rsidRPr="00D50773" w:rsidRDefault="00C30108" w:rsidP="001D55B0"/>
    <w:p w14:paraId="06305DBA" w14:textId="74C81F7A" w:rsidR="00D50773" w:rsidRDefault="00D50773" w:rsidP="00D50773"/>
    <w:p w14:paraId="77A7090B" w14:textId="77777777" w:rsidR="00D50773" w:rsidRDefault="00D50773" w:rsidP="00D50773"/>
    <w:p w14:paraId="13EF3C47" w14:textId="77777777" w:rsidR="00334D8D" w:rsidRDefault="00334D8D" w:rsidP="002937EE">
      <w:pPr>
        <w:jc w:val="center"/>
        <w:rPr>
          <w:b/>
        </w:rPr>
        <w:sectPr w:rsidR="00334D8D" w:rsidSect="002937E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840"/>
        <w:gridCol w:w="5935"/>
      </w:tblGrid>
      <w:tr w:rsidR="002937EE" w14:paraId="72677D45" w14:textId="77777777" w:rsidTr="002937EE">
        <w:tc>
          <w:tcPr>
            <w:tcW w:w="14390" w:type="dxa"/>
            <w:gridSpan w:val="3"/>
            <w:shd w:val="clear" w:color="auto" w:fill="FFD966" w:themeFill="accent4" w:themeFillTint="99"/>
          </w:tcPr>
          <w:p w14:paraId="629E6A79" w14:textId="7C6D6FCA" w:rsidR="002937EE" w:rsidRPr="00DF2124" w:rsidRDefault="00DF2124" w:rsidP="008E19AA">
            <w:pPr>
              <w:jc w:val="center"/>
              <w:rPr>
                <w:b/>
              </w:rPr>
            </w:pPr>
            <w:r w:rsidRPr="00DF2124">
              <w:rPr>
                <w:b/>
              </w:rPr>
              <w:lastRenderedPageBreak/>
              <w:t>Talent Developer: Manage, Lead and Develop the Special Educator/Learning Specialist Team</w:t>
            </w:r>
          </w:p>
        </w:tc>
      </w:tr>
      <w:tr w:rsidR="00472A7B" w14:paraId="29CF9C8E" w14:textId="77777777" w:rsidTr="00472A7B">
        <w:tc>
          <w:tcPr>
            <w:tcW w:w="8455" w:type="dxa"/>
            <w:gridSpan w:val="2"/>
            <w:shd w:val="clear" w:color="auto" w:fill="auto"/>
          </w:tcPr>
          <w:p w14:paraId="073DADB1" w14:textId="66271923" w:rsidR="00472A7B" w:rsidRPr="002937EE" w:rsidRDefault="00DF2124" w:rsidP="00D514D0">
            <w:pPr>
              <w:rPr>
                <w:i/>
              </w:rPr>
            </w:pPr>
            <w:r>
              <w:rPr>
                <w:i/>
              </w:rPr>
              <w:t>Ensure</w:t>
            </w:r>
            <w:r w:rsidR="0014223C">
              <w:rPr>
                <w:i/>
              </w:rPr>
              <w:t xml:space="preserve"> that special education and intervention staff are rapidly developing their skills.</w:t>
            </w:r>
          </w:p>
        </w:tc>
        <w:tc>
          <w:tcPr>
            <w:tcW w:w="5935" w:type="dxa"/>
            <w:shd w:val="clear" w:color="auto" w:fill="auto"/>
          </w:tcPr>
          <w:p w14:paraId="643D08E2" w14:textId="77777777" w:rsidR="00472A7B" w:rsidRPr="004158D3" w:rsidRDefault="00472A7B" w:rsidP="002937EE">
            <w:pPr>
              <w:rPr>
                <w:highlight w:val="yellow"/>
              </w:rPr>
            </w:pPr>
            <w:r w:rsidRPr="004158D3">
              <w:rPr>
                <w:highlight w:val="yellow"/>
              </w:rPr>
              <w:t xml:space="preserve">School Owner: </w:t>
            </w:r>
          </w:p>
          <w:p w14:paraId="148ABF0A" w14:textId="77777777" w:rsidR="00472A7B" w:rsidRPr="002937EE" w:rsidRDefault="00472A7B" w:rsidP="002937EE">
            <w:pPr>
              <w:rPr>
                <w:i/>
              </w:rPr>
            </w:pPr>
            <w:r w:rsidRPr="004158D3">
              <w:rPr>
                <w:highlight w:val="yellow"/>
              </w:rPr>
              <w:t>Performers:</w:t>
            </w:r>
          </w:p>
        </w:tc>
      </w:tr>
      <w:tr w:rsidR="002937EE" w14:paraId="73BB794A" w14:textId="77777777" w:rsidTr="00472A7B">
        <w:tc>
          <w:tcPr>
            <w:tcW w:w="1615" w:type="dxa"/>
            <w:shd w:val="clear" w:color="auto" w:fill="FFE599" w:themeFill="accent4" w:themeFillTint="66"/>
          </w:tcPr>
          <w:p w14:paraId="1CB5B6B9" w14:textId="77777777" w:rsidR="002937EE" w:rsidRDefault="002937EE" w:rsidP="00472A7B">
            <w:pPr>
              <w:jc w:val="center"/>
              <w:rPr>
                <w:b/>
              </w:rPr>
            </w:pPr>
            <w:r>
              <w:rPr>
                <w:b/>
              </w:rPr>
              <w:t>Bucket</w:t>
            </w:r>
          </w:p>
        </w:tc>
        <w:tc>
          <w:tcPr>
            <w:tcW w:w="6840" w:type="dxa"/>
            <w:shd w:val="clear" w:color="auto" w:fill="FFE599" w:themeFill="accent4" w:themeFillTint="66"/>
          </w:tcPr>
          <w:p w14:paraId="022FA776" w14:textId="77777777" w:rsidR="002937EE" w:rsidRDefault="00472A7B" w:rsidP="00472A7B">
            <w:pPr>
              <w:jc w:val="center"/>
              <w:rPr>
                <w:b/>
              </w:rPr>
            </w:pPr>
            <w:r>
              <w:rPr>
                <w:b/>
              </w:rPr>
              <w:t>DSS’s Core Actions</w:t>
            </w:r>
          </w:p>
        </w:tc>
        <w:tc>
          <w:tcPr>
            <w:tcW w:w="5935" w:type="dxa"/>
            <w:shd w:val="clear" w:color="auto" w:fill="FFE599" w:themeFill="accent4" w:themeFillTint="66"/>
          </w:tcPr>
          <w:p w14:paraId="7937FB95" w14:textId="5FD638AB" w:rsidR="002937EE" w:rsidRDefault="00EB54DB" w:rsidP="00472A7B">
            <w:pPr>
              <w:jc w:val="center"/>
              <w:rPr>
                <w:b/>
              </w:rPr>
            </w:pPr>
            <w:r>
              <w:rPr>
                <w:b/>
              </w:rPr>
              <w:t>Principal Actions to Support and Manage DSS</w:t>
            </w:r>
          </w:p>
        </w:tc>
      </w:tr>
      <w:tr w:rsidR="008A109C" w14:paraId="2C405BD5" w14:textId="77777777" w:rsidTr="003069A0">
        <w:tc>
          <w:tcPr>
            <w:tcW w:w="1615" w:type="dxa"/>
            <w:vMerge w:val="restart"/>
            <w:shd w:val="clear" w:color="auto" w:fill="FFF2CC" w:themeFill="accent4" w:themeFillTint="33"/>
          </w:tcPr>
          <w:p w14:paraId="0F1F9550" w14:textId="6293FC84" w:rsidR="008A109C" w:rsidRDefault="008A109C" w:rsidP="009F454E">
            <w:pPr>
              <w:rPr>
                <w:b/>
              </w:rPr>
            </w:pPr>
            <w:r>
              <w:rPr>
                <w:b/>
              </w:rPr>
              <w:t>Teacher Coaching &amp; Development (25%)</w:t>
            </w:r>
          </w:p>
        </w:tc>
        <w:tc>
          <w:tcPr>
            <w:tcW w:w="6840" w:type="dxa"/>
            <w:shd w:val="clear" w:color="auto" w:fill="FFFFFF" w:themeFill="background1"/>
          </w:tcPr>
          <w:p w14:paraId="49AFC579" w14:textId="25D1CC74" w:rsidR="008A109C" w:rsidRPr="00F4563F" w:rsidRDefault="008A109C" w:rsidP="00415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Define, communicate, and manage </w:t>
            </w:r>
            <w:r w:rsidR="004158D3">
              <w:rPr>
                <w:sz w:val="20"/>
                <w:szCs w:val="20"/>
              </w:rPr>
              <w:t xml:space="preserve">the roles and responsibilities of </w:t>
            </w:r>
            <w:r>
              <w:rPr>
                <w:sz w:val="20"/>
                <w:szCs w:val="20"/>
              </w:rPr>
              <w:t>special educator</w:t>
            </w:r>
            <w:r w:rsidR="00B3511A">
              <w:rPr>
                <w:sz w:val="20"/>
                <w:szCs w:val="20"/>
              </w:rPr>
              <w:t>s</w:t>
            </w:r>
            <w:r w:rsidR="004158D3">
              <w:rPr>
                <w:sz w:val="20"/>
                <w:szCs w:val="20"/>
              </w:rPr>
              <w:t>/learning specialists (using network recommendations).</w:t>
            </w:r>
          </w:p>
        </w:tc>
        <w:tc>
          <w:tcPr>
            <w:tcW w:w="5935" w:type="dxa"/>
            <w:shd w:val="clear" w:color="auto" w:fill="FFFFFF" w:themeFill="background1"/>
          </w:tcPr>
          <w:p w14:paraId="7737A1A0" w14:textId="5C6BC2EB" w:rsidR="008A109C" w:rsidRPr="00F4563F" w:rsidRDefault="00EB54DB" w:rsidP="00EB54DB">
            <w:pPr>
              <w:tabs>
                <w:tab w:val="left" w:pos="4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Rehearse conversation between DSS and direct reports explaining their responsibilities so expectations are clear.</w:t>
            </w:r>
            <w:r w:rsidR="003069A0">
              <w:rPr>
                <w:sz w:val="20"/>
                <w:szCs w:val="20"/>
              </w:rPr>
              <w:tab/>
            </w:r>
          </w:p>
        </w:tc>
      </w:tr>
      <w:tr w:rsidR="008A109C" w14:paraId="05FE76A9" w14:textId="77777777" w:rsidTr="002937EE">
        <w:tc>
          <w:tcPr>
            <w:tcW w:w="1615" w:type="dxa"/>
            <w:vMerge/>
            <w:shd w:val="clear" w:color="auto" w:fill="FFF2CC" w:themeFill="accent4" w:themeFillTint="33"/>
          </w:tcPr>
          <w:p w14:paraId="7A290DE1" w14:textId="73C00095" w:rsidR="008A109C" w:rsidRDefault="008A109C" w:rsidP="009F454E">
            <w:pPr>
              <w:rPr>
                <w:b/>
              </w:rPr>
            </w:pPr>
          </w:p>
        </w:tc>
        <w:tc>
          <w:tcPr>
            <w:tcW w:w="6840" w:type="dxa"/>
          </w:tcPr>
          <w:p w14:paraId="4D79272D" w14:textId="2078487F" w:rsidR="008A109C" w:rsidRDefault="008A109C" w:rsidP="002937EE">
            <w:pPr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 xml:space="preserve">Coach a team of learning specialists and interventionists </w:t>
            </w:r>
            <w:r w:rsidR="00B3511A">
              <w:rPr>
                <w:sz w:val="20"/>
                <w:szCs w:val="20"/>
              </w:rPr>
              <w:t>by</w:t>
            </w:r>
            <w:r w:rsidRPr="00F4563F">
              <w:rPr>
                <w:sz w:val="20"/>
                <w:szCs w:val="20"/>
              </w:rPr>
              <w:t xml:space="preserve"> observ</w:t>
            </w:r>
            <w:r w:rsidR="00B3511A">
              <w:rPr>
                <w:sz w:val="20"/>
                <w:szCs w:val="20"/>
              </w:rPr>
              <w:t>ing</w:t>
            </w:r>
            <w:r w:rsidRPr="00F4563F">
              <w:rPr>
                <w:sz w:val="20"/>
                <w:szCs w:val="20"/>
              </w:rPr>
              <w:t xml:space="preserve"> each teacher for at least 20 minutes </w:t>
            </w:r>
            <w:r w:rsidR="004158D3">
              <w:rPr>
                <w:sz w:val="20"/>
                <w:szCs w:val="20"/>
              </w:rPr>
              <w:t>every</w:t>
            </w:r>
            <w:r w:rsidRPr="00F4563F">
              <w:rPr>
                <w:sz w:val="20"/>
                <w:szCs w:val="20"/>
              </w:rPr>
              <w:t xml:space="preserve"> week and provid</w:t>
            </w:r>
            <w:r w:rsidR="00B3511A">
              <w:rPr>
                <w:sz w:val="20"/>
                <w:szCs w:val="20"/>
              </w:rPr>
              <w:t>ing</w:t>
            </w:r>
            <w:r w:rsidRPr="00F4563F">
              <w:rPr>
                <w:sz w:val="20"/>
                <w:szCs w:val="20"/>
              </w:rPr>
              <w:t xml:space="preserve"> weekly/bi-weekly feedback using the Observation, Feedback, and Practice power skill structure.</w:t>
            </w:r>
          </w:p>
          <w:p w14:paraId="701A21E0" w14:textId="01E96C4E" w:rsidR="004C3AFD" w:rsidRDefault="004C3AFD" w:rsidP="004C3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Coaching Portfolios include: </w:t>
            </w:r>
          </w:p>
          <w:p w14:paraId="30EE1F71" w14:textId="69B09A5D" w:rsidR="004C3AFD" w:rsidRDefault="004C3AFD" w:rsidP="0030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educators (4-8 teachers)</w:t>
            </w:r>
          </w:p>
          <w:p w14:paraId="36E679E4" w14:textId="77777777" w:rsidR="004C3AFD" w:rsidRDefault="004C3AFD" w:rsidP="0030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Interventionists (1-3 teachers)</w:t>
            </w:r>
          </w:p>
          <w:p w14:paraId="265EED25" w14:textId="77777777" w:rsidR="004C3AFD" w:rsidRDefault="004C3AFD" w:rsidP="003069A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Paraprofessionals and Related Service Providers (varies)</w:t>
            </w:r>
          </w:p>
          <w:p w14:paraId="140676A3" w14:textId="541835B3" w:rsidR="0011480C" w:rsidRPr="0011480C" w:rsidRDefault="0011480C" w:rsidP="00114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(For growing schools, estimate 1-2 special educators per grade.)</w:t>
            </w:r>
          </w:p>
        </w:tc>
        <w:tc>
          <w:tcPr>
            <w:tcW w:w="5935" w:type="dxa"/>
          </w:tcPr>
          <w:p w14:paraId="24C296FD" w14:textId="18A0BB88" w:rsidR="00302F1D" w:rsidRDefault="00EE049E" w:rsidP="003069A0">
            <w:pPr>
              <w:rPr>
                <w:sz w:val="20"/>
                <w:szCs w:val="20"/>
              </w:rPr>
            </w:pPr>
            <w:r w:rsidRPr="00EE049E">
              <w:rPr>
                <w:sz w:val="20"/>
                <w:szCs w:val="20"/>
              </w:rPr>
              <w:t>Review observation notes and ensure teacher actions steps are specific, high-impact, and transferrable for all teachers in the coaching portfolio.  If necessary, co-observe.</w:t>
            </w:r>
          </w:p>
          <w:p w14:paraId="57021578" w14:textId="4329AA17" w:rsidR="008A109C" w:rsidRPr="00F4563F" w:rsidRDefault="008A109C" w:rsidP="003069A0">
            <w:pPr>
              <w:rPr>
                <w:sz w:val="20"/>
                <w:szCs w:val="20"/>
              </w:rPr>
            </w:pPr>
          </w:p>
        </w:tc>
      </w:tr>
      <w:tr w:rsidR="004C3AFD" w14:paraId="0463134F" w14:textId="77777777" w:rsidTr="003069A0">
        <w:tc>
          <w:tcPr>
            <w:tcW w:w="1615" w:type="dxa"/>
            <w:vMerge/>
            <w:shd w:val="clear" w:color="auto" w:fill="FFF2CC" w:themeFill="accent4" w:themeFillTint="33"/>
          </w:tcPr>
          <w:p w14:paraId="199CC1A6" w14:textId="77777777" w:rsidR="004C3AFD" w:rsidRDefault="004C3AFD" w:rsidP="002937EE">
            <w:pPr>
              <w:rPr>
                <w:b/>
              </w:rPr>
            </w:pPr>
          </w:p>
        </w:tc>
        <w:tc>
          <w:tcPr>
            <w:tcW w:w="6840" w:type="dxa"/>
            <w:shd w:val="clear" w:color="auto" w:fill="auto"/>
          </w:tcPr>
          <w:p w14:paraId="2DBDC1A4" w14:textId="2605744A" w:rsidR="00C42121" w:rsidRPr="003069A0" w:rsidRDefault="004C3AFD" w:rsidP="00B3511A">
            <w:pPr>
              <w:tabs>
                <w:tab w:val="left" w:pos="58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 with other Deans to</w:t>
            </w:r>
            <w:r w:rsidR="00C42121">
              <w:rPr>
                <w:sz w:val="20"/>
                <w:szCs w:val="20"/>
              </w:rPr>
              <w:t xml:space="preserve"> ensure co</w:t>
            </w:r>
            <w:r w:rsidR="003069A0">
              <w:rPr>
                <w:sz w:val="20"/>
                <w:szCs w:val="20"/>
              </w:rPr>
              <w:t>-</w:t>
            </w:r>
            <w:r w:rsidR="00C42121">
              <w:rPr>
                <w:sz w:val="20"/>
                <w:szCs w:val="20"/>
              </w:rPr>
              <w:t xml:space="preserve">teaching and interventions are strong.  This includes </w:t>
            </w:r>
            <w:r w:rsidR="00B3511A">
              <w:rPr>
                <w:sz w:val="20"/>
                <w:szCs w:val="20"/>
              </w:rPr>
              <w:t>developing</w:t>
            </w:r>
            <w:r w:rsidR="00C42121">
              <w:rPr>
                <w:sz w:val="20"/>
                <w:szCs w:val="20"/>
              </w:rPr>
              <w:t xml:space="preserve"> systems and structures </w:t>
            </w:r>
            <w:r w:rsidR="00B3511A">
              <w:rPr>
                <w:sz w:val="20"/>
                <w:szCs w:val="20"/>
              </w:rPr>
              <w:t>to</w:t>
            </w:r>
            <w:r w:rsidR="00C42121">
              <w:rPr>
                <w:sz w:val="20"/>
                <w:szCs w:val="20"/>
              </w:rPr>
              <w:t xml:space="preserve"> monitor</w:t>
            </w:r>
            <w:r w:rsidR="00C42121" w:rsidRPr="00F4563F">
              <w:rPr>
                <w:sz w:val="20"/>
                <w:szCs w:val="20"/>
              </w:rPr>
              <w:t xml:space="preserve"> co-teaching implementation meetings, </w:t>
            </w:r>
            <w:r w:rsidR="00C42121">
              <w:rPr>
                <w:sz w:val="20"/>
                <w:szCs w:val="20"/>
              </w:rPr>
              <w:t>conduct</w:t>
            </w:r>
            <w:r w:rsidR="00E07015">
              <w:rPr>
                <w:sz w:val="20"/>
                <w:szCs w:val="20"/>
              </w:rPr>
              <w:t>ing</w:t>
            </w:r>
            <w:r w:rsidR="00C42121" w:rsidRPr="00F4563F">
              <w:rPr>
                <w:sz w:val="20"/>
                <w:szCs w:val="20"/>
              </w:rPr>
              <w:t xml:space="preserve"> regular co-teaching walk-throughs, and </w:t>
            </w:r>
            <w:r w:rsidR="00C42121">
              <w:rPr>
                <w:sz w:val="20"/>
                <w:szCs w:val="20"/>
              </w:rPr>
              <w:t>collect</w:t>
            </w:r>
            <w:r w:rsidR="00E07015">
              <w:rPr>
                <w:sz w:val="20"/>
                <w:szCs w:val="20"/>
              </w:rPr>
              <w:t>ing/analyzing</w:t>
            </w:r>
            <w:r w:rsidR="00C42121">
              <w:rPr>
                <w:sz w:val="20"/>
                <w:szCs w:val="20"/>
              </w:rPr>
              <w:t>/respond</w:t>
            </w:r>
            <w:r w:rsidR="00E07015">
              <w:rPr>
                <w:sz w:val="20"/>
                <w:szCs w:val="20"/>
              </w:rPr>
              <w:t>ing</w:t>
            </w:r>
            <w:r w:rsidR="00C42121">
              <w:rPr>
                <w:sz w:val="20"/>
                <w:szCs w:val="20"/>
              </w:rPr>
              <w:t xml:space="preserve"> to </w:t>
            </w:r>
            <w:r w:rsidR="00C42121" w:rsidRPr="00F4563F">
              <w:rPr>
                <w:sz w:val="20"/>
                <w:szCs w:val="20"/>
              </w:rPr>
              <w:t>co-teacher</w:t>
            </w:r>
            <w:r w:rsidR="003069A0">
              <w:rPr>
                <w:sz w:val="20"/>
                <w:szCs w:val="20"/>
              </w:rPr>
              <w:t xml:space="preserve"> survey</w:t>
            </w:r>
            <w:r w:rsidR="00C42121" w:rsidRPr="00F4563F">
              <w:rPr>
                <w:sz w:val="20"/>
                <w:szCs w:val="20"/>
              </w:rPr>
              <w:t xml:space="preserve"> feedback 3 times a year.</w:t>
            </w:r>
          </w:p>
        </w:tc>
        <w:tc>
          <w:tcPr>
            <w:tcW w:w="5935" w:type="dxa"/>
            <w:shd w:val="clear" w:color="auto" w:fill="auto"/>
          </w:tcPr>
          <w:p w14:paraId="63BA7D3A" w14:textId="1065164B" w:rsidR="004C3AFD" w:rsidRPr="003069A0" w:rsidRDefault="00EE049E" w:rsidP="00EE0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</w:t>
            </w:r>
            <w:r w:rsidR="00302F1D" w:rsidRPr="00F4563F">
              <w:rPr>
                <w:sz w:val="20"/>
                <w:szCs w:val="20"/>
              </w:rPr>
              <w:t xml:space="preserve"> coaching moves and coaching conversations.</w:t>
            </w:r>
            <w:r w:rsidR="00302F1D" w:rsidRPr="00F4563F">
              <w:t xml:space="preserve"> </w:t>
            </w:r>
            <w:r>
              <w:rPr>
                <w:sz w:val="20"/>
                <w:szCs w:val="20"/>
              </w:rPr>
              <w:t xml:space="preserve">Review co-teaching and intervention data and action plans. </w:t>
            </w:r>
          </w:p>
        </w:tc>
      </w:tr>
      <w:tr w:rsidR="008A109C" w14:paraId="508DE67C" w14:textId="77777777" w:rsidTr="002937EE">
        <w:tc>
          <w:tcPr>
            <w:tcW w:w="1615" w:type="dxa"/>
            <w:vMerge/>
            <w:shd w:val="clear" w:color="auto" w:fill="FFF2CC" w:themeFill="accent4" w:themeFillTint="33"/>
          </w:tcPr>
          <w:p w14:paraId="0E1AF19D" w14:textId="418D8763" w:rsidR="008A109C" w:rsidRDefault="008A109C" w:rsidP="002937EE">
            <w:pPr>
              <w:rPr>
                <w:b/>
              </w:rPr>
            </w:pPr>
          </w:p>
        </w:tc>
        <w:tc>
          <w:tcPr>
            <w:tcW w:w="6840" w:type="dxa"/>
          </w:tcPr>
          <w:p w14:paraId="1C0E3461" w14:textId="3DC2A4F3" w:rsidR="008A109C" w:rsidRPr="001C02A2" w:rsidRDefault="008A109C" w:rsidP="00E07015">
            <w:pPr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>Observe t</w:t>
            </w:r>
            <w:r w:rsidR="00E07015">
              <w:rPr>
                <w:sz w:val="20"/>
                <w:szCs w:val="20"/>
              </w:rPr>
              <w:t>eachers regularly and use real time</w:t>
            </w:r>
            <w:r w:rsidRPr="00F4563F">
              <w:rPr>
                <w:sz w:val="20"/>
                <w:szCs w:val="20"/>
              </w:rPr>
              <w:t xml:space="preserve"> coaching s</w:t>
            </w:r>
            <w:r w:rsidR="00E07015">
              <w:rPr>
                <w:sz w:val="20"/>
                <w:szCs w:val="20"/>
              </w:rPr>
              <w:t xml:space="preserve">trategies </w:t>
            </w:r>
            <w:r w:rsidR="00B3511A">
              <w:rPr>
                <w:sz w:val="20"/>
                <w:szCs w:val="20"/>
              </w:rPr>
              <w:t>to establish</w:t>
            </w:r>
            <w:r w:rsidR="001C02A2">
              <w:rPr>
                <w:sz w:val="20"/>
                <w:szCs w:val="20"/>
              </w:rPr>
              <w:t xml:space="preserve"> strong instruction in interventions and co-taught classrooms. </w:t>
            </w:r>
          </w:p>
        </w:tc>
        <w:tc>
          <w:tcPr>
            <w:tcW w:w="5935" w:type="dxa"/>
          </w:tcPr>
          <w:p w14:paraId="67FC2E6C" w14:textId="50174DC9" w:rsidR="008A109C" w:rsidRPr="00F4563F" w:rsidRDefault="00EE049E" w:rsidP="00E07015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Observe and provide feedback on the use of </w:t>
            </w:r>
            <w:r w:rsidR="00E07015">
              <w:rPr>
                <w:sz w:val="20"/>
                <w:szCs w:val="20"/>
              </w:rPr>
              <w:t>RTC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8A109C" w14:paraId="3E4B562C" w14:textId="77777777" w:rsidTr="002937EE">
        <w:tc>
          <w:tcPr>
            <w:tcW w:w="1615" w:type="dxa"/>
            <w:vMerge/>
            <w:shd w:val="clear" w:color="auto" w:fill="FFF2CC" w:themeFill="accent4" w:themeFillTint="33"/>
          </w:tcPr>
          <w:p w14:paraId="6ED0098C" w14:textId="77777777" w:rsidR="008A109C" w:rsidRDefault="008A109C" w:rsidP="009B72E7">
            <w:pPr>
              <w:rPr>
                <w:b/>
              </w:rPr>
            </w:pPr>
          </w:p>
        </w:tc>
        <w:tc>
          <w:tcPr>
            <w:tcW w:w="6840" w:type="dxa"/>
          </w:tcPr>
          <w:p w14:paraId="3E0B2C48" w14:textId="6250DE0B" w:rsidR="008A109C" w:rsidRPr="00F4563F" w:rsidRDefault="008A109C" w:rsidP="00E07015">
            <w:pPr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>Design and deliver high impact professional development for teachers during Early Rel</w:t>
            </w:r>
            <w:r w:rsidR="00E07015">
              <w:rPr>
                <w:sz w:val="20"/>
                <w:szCs w:val="20"/>
              </w:rPr>
              <w:t>ease Days (often Fridays), Roll-</w:t>
            </w:r>
            <w:r w:rsidRPr="00F4563F">
              <w:rPr>
                <w:sz w:val="20"/>
                <w:szCs w:val="20"/>
              </w:rPr>
              <w:t xml:space="preserve">Off Days, and </w:t>
            </w:r>
            <w:r w:rsidR="00E07015">
              <w:rPr>
                <w:sz w:val="20"/>
                <w:szCs w:val="20"/>
              </w:rPr>
              <w:t xml:space="preserve">at </w:t>
            </w:r>
            <w:r w:rsidRPr="00F4563F">
              <w:rPr>
                <w:sz w:val="20"/>
                <w:szCs w:val="20"/>
              </w:rPr>
              <w:t>Content Meetings</w:t>
            </w:r>
            <w:r w:rsidR="00E07015">
              <w:rPr>
                <w:sz w:val="20"/>
                <w:szCs w:val="20"/>
              </w:rPr>
              <w:t xml:space="preserve">. </w:t>
            </w:r>
            <w:r w:rsidR="003069A0">
              <w:rPr>
                <w:sz w:val="20"/>
                <w:szCs w:val="20"/>
              </w:rPr>
              <w:t xml:space="preserve">After PD, follow up with teachers to measure implementation and identify </w:t>
            </w:r>
            <w:r w:rsidR="00B3511A">
              <w:rPr>
                <w:sz w:val="20"/>
                <w:szCs w:val="20"/>
              </w:rPr>
              <w:t>remaining</w:t>
            </w:r>
            <w:r w:rsidR="003069A0">
              <w:rPr>
                <w:sz w:val="20"/>
                <w:szCs w:val="20"/>
              </w:rPr>
              <w:t xml:space="preserve"> gaps. </w:t>
            </w:r>
          </w:p>
        </w:tc>
        <w:tc>
          <w:tcPr>
            <w:tcW w:w="5935" w:type="dxa"/>
          </w:tcPr>
          <w:p w14:paraId="3F0863DA" w14:textId="10B7CA56" w:rsidR="008A109C" w:rsidRDefault="00E07015" w:rsidP="009B7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and revise PD plans. </w:t>
            </w:r>
            <w:r w:rsidR="008A109C" w:rsidRPr="00F4563F">
              <w:rPr>
                <w:sz w:val="20"/>
                <w:szCs w:val="20"/>
              </w:rPr>
              <w:t>Practice tricky portions of plans.</w:t>
            </w:r>
            <w:r>
              <w:rPr>
                <w:sz w:val="20"/>
                <w:szCs w:val="20"/>
              </w:rPr>
              <w:t xml:space="preserve"> </w:t>
            </w:r>
            <w:r w:rsidR="00027188">
              <w:rPr>
                <w:sz w:val="20"/>
                <w:szCs w:val="20"/>
              </w:rPr>
              <w:t>Ensure the DSS has a follow</w:t>
            </w:r>
            <w:r w:rsidR="006C025F">
              <w:rPr>
                <w:sz w:val="20"/>
                <w:szCs w:val="20"/>
              </w:rPr>
              <w:t>-</w:t>
            </w:r>
            <w:r w:rsidR="00027188">
              <w:rPr>
                <w:sz w:val="20"/>
                <w:szCs w:val="20"/>
              </w:rPr>
              <w:t xml:space="preserve">up plan once the PD is complete. </w:t>
            </w:r>
          </w:p>
          <w:p w14:paraId="4DAE99B3" w14:textId="77777777" w:rsidR="00DA43BE" w:rsidRPr="00F4563F" w:rsidRDefault="00DA43BE" w:rsidP="009B72E7">
            <w:pPr>
              <w:rPr>
                <w:sz w:val="20"/>
                <w:szCs w:val="20"/>
              </w:rPr>
            </w:pPr>
          </w:p>
        </w:tc>
      </w:tr>
      <w:tr w:rsidR="00E175D0" w14:paraId="424963F0" w14:textId="77777777" w:rsidTr="002937EE">
        <w:tc>
          <w:tcPr>
            <w:tcW w:w="1615" w:type="dxa"/>
            <w:vMerge w:val="restart"/>
            <w:shd w:val="clear" w:color="auto" w:fill="FFF2CC" w:themeFill="accent4" w:themeFillTint="33"/>
          </w:tcPr>
          <w:p w14:paraId="6B35B045" w14:textId="77777777" w:rsidR="00E175D0" w:rsidRDefault="00E175D0" w:rsidP="00D514D0">
            <w:pPr>
              <w:rPr>
                <w:b/>
              </w:rPr>
            </w:pPr>
            <w:r>
              <w:rPr>
                <w:b/>
              </w:rPr>
              <w:t>Manage Vision for Special Services (</w:t>
            </w:r>
            <w:r w:rsidR="00D514D0">
              <w:rPr>
                <w:b/>
              </w:rPr>
              <w:t>5</w:t>
            </w:r>
            <w:r>
              <w:rPr>
                <w:b/>
              </w:rPr>
              <w:t>%)</w:t>
            </w:r>
          </w:p>
        </w:tc>
        <w:tc>
          <w:tcPr>
            <w:tcW w:w="6840" w:type="dxa"/>
          </w:tcPr>
          <w:p w14:paraId="05B8428D" w14:textId="77777777" w:rsidR="00E175D0" w:rsidRPr="00F4563F" w:rsidRDefault="00E175D0" w:rsidP="009B72E7">
            <w:pPr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>Engage in intentional dialogue with Deans and Principal to ensure the needs of all scholars are being considered and supported</w:t>
            </w:r>
            <w:r w:rsidR="003737B3" w:rsidRPr="00F4563F">
              <w:rPr>
                <w:sz w:val="20"/>
                <w:szCs w:val="20"/>
              </w:rPr>
              <w:t>.</w:t>
            </w:r>
          </w:p>
        </w:tc>
        <w:tc>
          <w:tcPr>
            <w:tcW w:w="5935" w:type="dxa"/>
          </w:tcPr>
          <w:p w14:paraId="08DDDBE4" w14:textId="75DA11F7" w:rsidR="00E175D0" w:rsidRPr="00F4563F" w:rsidRDefault="003737B3" w:rsidP="009B72E7">
            <w:pPr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>Debrief conversations and provide feedback about the impact of the intentional dialogue</w:t>
            </w:r>
            <w:r w:rsidR="00E07015">
              <w:rPr>
                <w:sz w:val="20"/>
                <w:szCs w:val="20"/>
              </w:rPr>
              <w:t>.</w:t>
            </w:r>
          </w:p>
        </w:tc>
      </w:tr>
      <w:tr w:rsidR="00E175D0" w14:paraId="2D77C441" w14:textId="77777777" w:rsidTr="002937EE">
        <w:tc>
          <w:tcPr>
            <w:tcW w:w="1615" w:type="dxa"/>
            <w:vMerge/>
            <w:shd w:val="clear" w:color="auto" w:fill="FFF2CC" w:themeFill="accent4" w:themeFillTint="33"/>
          </w:tcPr>
          <w:p w14:paraId="148BCB2D" w14:textId="77777777" w:rsidR="00E175D0" w:rsidRDefault="00E175D0" w:rsidP="009B72E7">
            <w:pPr>
              <w:rPr>
                <w:b/>
              </w:rPr>
            </w:pPr>
          </w:p>
        </w:tc>
        <w:tc>
          <w:tcPr>
            <w:tcW w:w="6840" w:type="dxa"/>
          </w:tcPr>
          <w:p w14:paraId="661D3180" w14:textId="6ED0B939" w:rsidR="00027188" w:rsidRDefault="00E175D0" w:rsidP="009B72E7">
            <w:pPr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 xml:space="preserve">Collaborate with the principal to ensure staffing and scheduling of special service team members meet the needs of </w:t>
            </w:r>
            <w:r w:rsidR="00027188">
              <w:rPr>
                <w:sz w:val="20"/>
                <w:szCs w:val="20"/>
              </w:rPr>
              <w:t xml:space="preserve">all scholars, including, but not limited to ensuring that co-teaching blocks and meetings, as well as math and reading interventions are built into the schedule. </w:t>
            </w:r>
          </w:p>
          <w:p w14:paraId="51FE40C8" w14:textId="5E494793" w:rsidR="00E175D0" w:rsidRPr="00F4563F" w:rsidRDefault="00E175D0" w:rsidP="009B72E7">
            <w:pPr>
              <w:rPr>
                <w:sz w:val="20"/>
                <w:szCs w:val="20"/>
              </w:rPr>
            </w:pPr>
          </w:p>
        </w:tc>
        <w:tc>
          <w:tcPr>
            <w:tcW w:w="5935" w:type="dxa"/>
          </w:tcPr>
          <w:p w14:paraId="10B9282A" w14:textId="197DB9F4" w:rsidR="00E175D0" w:rsidRDefault="00E175D0" w:rsidP="009B72E7">
            <w:pPr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>Review staffing and scheduling proposals, using school data and network guidance</w:t>
            </w:r>
            <w:r w:rsidR="00B3511A">
              <w:rPr>
                <w:sz w:val="20"/>
                <w:szCs w:val="20"/>
              </w:rPr>
              <w:t>,</w:t>
            </w:r>
            <w:r w:rsidRPr="00F4563F">
              <w:rPr>
                <w:sz w:val="20"/>
                <w:szCs w:val="20"/>
              </w:rPr>
              <w:t xml:space="preserve"> to ensure appropriate staffing is in place to meet special services requirements</w:t>
            </w:r>
            <w:r w:rsidR="00027188">
              <w:rPr>
                <w:sz w:val="20"/>
                <w:szCs w:val="20"/>
              </w:rPr>
              <w:t xml:space="preserve">.  </w:t>
            </w:r>
          </w:p>
          <w:p w14:paraId="03A3C998" w14:textId="77777777" w:rsidR="00027188" w:rsidRDefault="00027188" w:rsidP="009B72E7">
            <w:pPr>
              <w:rPr>
                <w:sz w:val="20"/>
                <w:szCs w:val="20"/>
              </w:rPr>
            </w:pPr>
          </w:p>
          <w:p w14:paraId="220824C8" w14:textId="77777777" w:rsidR="00027188" w:rsidRPr="00F4563F" w:rsidRDefault="00027188" w:rsidP="009B72E7">
            <w:pPr>
              <w:rPr>
                <w:sz w:val="20"/>
                <w:szCs w:val="20"/>
              </w:rPr>
            </w:pPr>
          </w:p>
        </w:tc>
      </w:tr>
      <w:tr w:rsidR="00027188" w14:paraId="1F341DC1" w14:textId="77777777" w:rsidTr="009D1CAA">
        <w:trPr>
          <w:trHeight w:val="977"/>
        </w:trPr>
        <w:tc>
          <w:tcPr>
            <w:tcW w:w="1615" w:type="dxa"/>
            <w:vMerge/>
            <w:shd w:val="clear" w:color="auto" w:fill="FFF2CC" w:themeFill="accent4" w:themeFillTint="33"/>
          </w:tcPr>
          <w:p w14:paraId="66B0C2E9" w14:textId="77777777" w:rsidR="00027188" w:rsidRDefault="00027188" w:rsidP="009B72E7">
            <w:pPr>
              <w:rPr>
                <w:b/>
              </w:rPr>
            </w:pPr>
          </w:p>
        </w:tc>
        <w:tc>
          <w:tcPr>
            <w:tcW w:w="6840" w:type="dxa"/>
          </w:tcPr>
          <w:p w14:paraId="4C8C3242" w14:textId="77777777" w:rsidR="00027188" w:rsidRPr="00F4563F" w:rsidRDefault="00027188" w:rsidP="00496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AF’s consistent and core special education practices,</w:t>
            </w:r>
            <w:r w:rsidRPr="00F4563F">
              <w:rPr>
                <w:sz w:val="20"/>
                <w:szCs w:val="20"/>
              </w:rPr>
              <w:t xml:space="preserve"> communicate a vision for special services to the school staff which underscores the ability of all students to achieve at high levels, and confront incidents of low-expectations.</w:t>
            </w:r>
          </w:p>
          <w:p w14:paraId="2632418F" w14:textId="3970FD05" w:rsidR="00027188" w:rsidRPr="00F4563F" w:rsidRDefault="00027188" w:rsidP="0027746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35" w:type="dxa"/>
          </w:tcPr>
          <w:p w14:paraId="7109C76A" w14:textId="02D594A9" w:rsidR="00027188" w:rsidRPr="00F4563F" w:rsidRDefault="00860C04" w:rsidP="009A3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27188" w:rsidRPr="00F4563F">
              <w:rPr>
                <w:sz w:val="20"/>
                <w:szCs w:val="20"/>
              </w:rPr>
              <w:t>rovide feedback on the clarity of t</w:t>
            </w:r>
            <w:r w:rsidR="00EE049E">
              <w:rPr>
                <w:sz w:val="20"/>
                <w:szCs w:val="20"/>
              </w:rPr>
              <w:t xml:space="preserve">he vision for special services. </w:t>
            </w:r>
            <w:r w:rsidR="009A32AF">
              <w:rPr>
                <w:sz w:val="20"/>
                <w:szCs w:val="20"/>
              </w:rPr>
              <w:t>Champion the m</w:t>
            </w:r>
            <w:r w:rsidR="00027188">
              <w:rPr>
                <w:sz w:val="20"/>
                <w:szCs w:val="20"/>
              </w:rPr>
              <w:t xml:space="preserve">essage that all scholars can and should be achieving at high levels. </w:t>
            </w:r>
          </w:p>
        </w:tc>
      </w:tr>
    </w:tbl>
    <w:p w14:paraId="3A31A50B" w14:textId="77777777" w:rsidR="00A11CB5" w:rsidRDefault="00A11CB5" w:rsidP="0027746F">
      <w:pPr>
        <w:jc w:val="center"/>
        <w:rPr>
          <w:b/>
        </w:rPr>
        <w:sectPr w:rsidR="00A11CB5" w:rsidSect="002937E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840"/>
        <w:gridCol w:w="5935"/>
      </w:tblGrid>
      <w:tr w:rsidR="0027746F" w14:paraId="0D2603F0" w14:textId="77777777" w:rsidTr="002937EE">
        <w:tc>
          <w:tcPr>
            <w:tcW w:w="14390" w:type="dxa"/>
            <w:gridSpan w:val="3"/>
            <w:shd w:val="clear" w:color="auto" w:fill="9CC2E5" w:themeFill="accent1" w:themeFillTint="99"/>
            <w:vAlign w:val="center"/>
          </w:tcPr>
          <w:p w14:paraId="2A1BF22A" w14:textId="0256072D" w:rsidR="0027746F" w:rsidRPr="00C82CBB" w:rsidRDefault="00C82CBB" w:rsidP="0027746F">
            <w:pPr>
              <w:jc w:val="center"/>
              <w:rPr>
                <w:b/>
              </w:rPr>
            </w:pPr>
            <w:r w:rsidRPr="00C82CBB">
              <w:rPr>
                <w:b/>
              </w:rPr>
              <w:lastRenderedPageBreak/>
              <w:t>Authentic Compliance: Manage IEPs, 504s, and ELLs, including District Relationships</w:t>
            </w:r>
          </w:p>
        </w:tc>
      </w:tr>
      <w:tr w:rsidR="0027746F" w14:paraId="187C5721" w14:textId="77777777" w:rsidTr="00472A7B">
        <w:tc>
          <w:tcPr>
            <w:tcW w:w="8455" w:type="dxa"/>
            <w:gridSpan w:val="2"/>
            <w:shd w:val="clear" w:color="auto" w:fill="auto"/>
          </w:tcPr>
          <w:p w14:paraId="0671B707" w14:textId="6E7307DD" w:rsidR="0027746F" w:rsidRDefault="0014223C" w:rsidP="00D514D0">
            <w:pPr>
              <w:rPr>
                <w:b/>
              </w:rPr>
            </w:pPr>
            <w:r>
              <w:rPr>
                <w:i/>
              </w:rPr>
              <w:t>Ensure we are legally compliant in a way that is authentic to student outcomes and ac</w:t>
            </w:r>
            <w:r w:rsidR="00C82CBB">
              <w:rPr>
                <w:i/>
              </w:rPr>
              <w:t>hievement so we</w:t>
            </w:r>
            <w:r>
              <w:rPr>
                <w:i/>
              </w:rPr>
              <w:t xml:space="preserve"> are doing right by kids.</w:t>
            </w:r>
          </w:p>
        </w:tc>
        <w:tc>
          <w:tcPr>
            <w:tcW w:w="5935" w:type="dxa"/>
            <w:shd w:val="clear" w:color="auto" w:fill="auto"/>
          </w:tcPr>
          <w:p w14:paraId="53873ACB" w14:textId="77777777" w:rsidR="0027746F" w:rsidRPr="00C82CBB" w:rsidRDefault="0027746F" w:rsidP="0027746F">
            <w:pPr>
              <w:rPr>
                <w:highlight w:val="yellow"/>
              </w:rPr>
            </w:pPr>
            <w:r w:rsidRPr="00C82CBB">
              <w:rPr>
                <w:highlight w:val="yellow"/>
              </w:rPr>
              <w:t xml:space="preserve">School Owner: </w:t>
            </w:r>
          </w:p>
          <w:p w14:paraId="05E760E1" w14:textId="77777777" w:rsidR="0027746F" w:rsidRDefault="0027746F" w:rsidP="0027746F">
            <w:pPr>
              <w:rPr>
                <w:b/>
              </w:rPr>
            </w:pPr>
            <w:r w:rsidRPr="00C82CBB">
              <w:rPr>
                <w:highlight w:val="yellow"/>
              </w:rPr>
              <w:t>Performers:</w:t>
            </w:r>
          </w:p>
        </w:tc>
      </w:tr>
      <w:tr w:rsidR="0027746F" w14:paraId="68569B45" w14:textId="77777777" w:rsidTr="00472A7B">
        <w:tc>
          <w:tcPr>
            <w:tcW w:w="1615" w:type="dxa"/>
            <w:shd w:val="clear" w:color="auto" w:fill="BDD6EE" w:themeFill="accent1" w:themeFillTint="66"/>
          </w:tcPr>
          <w:p w14:paraId="75275A16" w14:textId="77777777" w:rsidR="0027746F" w:rsidRDefault="0027746F" w:rsidP="0027746F">
            <w:pPr>
              <w:jc w:val="center"/>
              <w:rPr>
                <w:b/>
              </w:rPr>
            </w:pPr>
            <w:r>
              <w:rPr>
                <w:b/>
              </w:rPr>
              <w:t>Bucket</w:t>
            </w:r>
          </w:p>
        </w:tc>
        <w:tc>
          <w:tcPr>
            <w:tcW w:w="6840" w:type="dxa"/>
            <w:shd w:val="clear" w:color="auto" w:fill="BDD6EE" w:themeFill="accent1" w:themeFillTint="66"/>
          </w:tcPr>
          <w:p w14:paraId="01B7FAAD" w14:textId="77777777" w:rsidR="0027746F" w:rsidRDefault="0027746F" w:rsidP="0027746F">
            <w:pPr>
              <w:jc w:val="center"/>
              <w:rPr>
                <w:b/>
              </w:rPr>
            </w:pPr>
            <w:r>
              <w:rPr>
                <w:b/>
              </w:rPr>
              <w:t>DSS’s Core Actions</w:t>
            </w:r>
          </w:p>
        </w:tc>
        <w:tc>
          <w:tcPr>
            <w:tcW w:w="5935" w:type="dxa"/>
            <w:shd w:val="clear" w:color="auto" w:fill="BDD6EE" w:themeFill="accent1" w:themeFillTint="66"/>
          </w:tcPr>
          <w:p w14:paraId="0A187BEB" w14:textId="5903CFAC" w:rsidR="0027746F" w:rsidRDefault="00EE049E" w:rsidP="0027746F">
            <w:pPr>
              <w:jc w:val="center"/>
              <w:rPr>
                <w:b/>
              </w:rPr>
            </w:pPr>
            <w:r>
              <w:rPr>
                <w:b/>
              </w:rPr>
              <w:t>Principal Actions to Support and Manage DSS</w:t>
            </w:r>
          </w:p>
        </w:tc>
      </w:tr>
      <w:tr w:rsidR="002342CB" w14:paraId="6791E2BC" w14:textId="77777777" w:rsidTr="00027188">
        <w:tc>
          <w:tcPr>
            <w:tcW w:w="1615" w:type="dxa"/>
            <w:vMerge w:val="restart"/>
            <w:shd w:val="clear" w:color="auto" w:fill="DEEAF6" w:themeFill="accent1" w:themeFillTint="33"/>
          </w:tcPr>
          <w:p w14:paraId="58B6470D" w14:textId="058D9D85" w:rsidR="002342CB" w:rsidRDefault="002342CB" w:rsidP="009F454E">
            <w:pPr>
              <w:rPr>
                <w:b/>
              </w:rPr>
            </w:pPr>
            <w:r>
              <w:rPr>
                <w:b/>
              </w:rPr>
              <w:t>Authentic Compliance Systems (20%)</w:t>
            </w:r>
          </w:p>
        </w:tc>
        <w:tc>
          <w:tcPr>
            <w:tcW w:w="6840" w:type="dxa"/>
            <w:shd w:val="clear" w:color="auto" w:fill="FFFFFF" w:themeFill="background1"/>
          </w:tcPr>
          <w:p w14:paraId="63D09D2E" w14:textId="3B375DF0" w:rsidR="002342CB" w:rsidRPr="00F4563F" w:rsidRDefault="002342CB" w:rsidP="00C82CB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all teachers know and </w:t>
            </w:r>
            <w:r w:rsidR="00C4212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re implementing students’ IEPs and 504 plans by </w:t>
            </w:r>
            <w:r w:rsidR="00C82CBB">
              <w:rPr>
                <w:sz w:val="20"/>
                <w:szCs w:val="20"/>
              </w:rPr>
              <w:t xml:space="preserve">sharing </w:t>
            </w:r>
            <w:r>
              <w:rPr>
                <w:sz w:val="20"/>
                <w:szCs w:val="20"/>
              </w:rPr>
              <w:t>IEPs/504s</w:t>
            </w:r>
            <w:r w:rsidR="00B3511A">
              <w:rPr>
                <w:sz w:val="20"/>
                <w:szCs w:val="20"/>
              </w:rPr>
              <w:t>-at-</w:t>
            </w:r>
            <w:r>
              <w:rPr>
                <w:sz w:val="20"/>
                <w:szCs w:val="20"/>
              </w:rPr>
              <w:t>a</w:t>
            </w:r>
            <w:r w:rsidR="00B3511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Glance and conducting walkthroughs</w:t>
            </w:r>
            <w:r w:rsidR="00DE3DBC">
              <w:rPr>
                <w:sz w:val="20"/>
                <w:szCs w:val="20"/>
              </w:rPr>
              <w:t xml:space="preserve"> monthly</w:t>
            </w:r>
            <w:r>
              <w:rPr>
                <w:sz w:val="20"/>
                <w:szCs w:val="20"/>
              </w:rPr>
              <w:t xml:space="preserve"> to ensure teachers are implementing accommodation</w:t>
            </w:r>
            <w:r w:rsidR="00DE3DBC">
              <w:rPr>
                <w:sz w:val="20"/>
                <w:szCs w:val="20"/>
              </w:rPr>
              <w:t>s and modifications.</w:t>
            </w:r>
          </w:p>
        </w:tc>
        <w:tc>
          <w:tcPr>
            <w:tcW w:w="5935" w:type="dxa"/>
            <w:shd w:val="clear" w:color="auto" w:fill="FFFFFF" w:themeFill="background1"/>
          </w:tcPr>
          <w:p w14:paraId="552AD749" w14:textId="7EB9176A" w:rsidR="002342CB" w:rsidRPr="00F4563F" w:rsidRDefault="009A32AF" w:rsidP="0027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walk-through observation data and feedback emails to teachers to ensure the feedback is clear, easily-implemented, and rooted in data. </w:t>
            </w:r>
          </w:p>
        </w:tc>
      </w:tr>
      <w:tr w:rsidR="002342CB" w14:paraId="1F3E7063" w14:textId="77777777" w:rsidTr="002937EE">
        <w:tc>
          <w:tcPr>
            <w:tcW w:w="1615" w:type="dxa"/>
            <w:vMerge/>
            <w:shd w:val="clear" w:color="auto" w:fill="DEEAF6" w:themeFill="accent1" w:themeFillTint="33"/>
          </w:tcPr>
          <w:p w14:paraId="5D8FA00A" w14:textId="7862E8E5" w:rsidR="002342CB" w:rsidRDefault="002342CB" w:rsidP="009F454E">
            <w:pPr>
              <w:rPr>
                <w:b/>
              </w:rPr>
            </w:pPr>
          </w:p>
        </w:tc>
        <w:tc>
          <w:tcPr>
            <w:tcW w:w="6840" w:type="dxa"/>
          </w:tcPr>
          <w:p w14:paraId="463DBC11" w14:textId="01FE179C" w:rsidR="00D85A6A" w:rsidRDefault="002342CB" w:rsidP="00D85A6A">
            <w:pPr>
              <w:contextualSpacing/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 xml:space="preserve">Ensure all scholars, including scholars with IEPs, make ambitious and achievable academic progress each year by reviewing student data at least </w:t>
            </w:r>
            <w:r w:rsidRPr="001C02A2">
              <w:rPr>
                <w:sz w:val="20"/>
                <w:szCs w:val="20"/>
              </w:rPr>
              <w:t>monthly</w:t>
            </w:r>
            <w:r w:rsidR="00A434BD">
              <w:rPr>
                <w:sz w:val="20"/>
                <w:szCs w:val="20"/>
              </w:rPr>
              <w:t xml:space="preserve"> and problem </w:t>
            </w:r>
            <w:r w:rsidR="00D85A6A">
              <w:rPr>
                <w:sz w:val="20"/>
                <w:szCs w:val="20"/>
              </w:rPr>
              <w:t xml:space="preserve">solving with grade level and special educator teams.  </w:t>
            </w:r>
          </w:p>
          <w:p w14:paraId="38A642C3" w14:textId="77777777" w:rsidR="00D85A6A" w:rsidRDefault="00D85A6A" w:rsidP="00D85A6A">
            <w:pPr>
              <w:contextualSpacing/>
              <w:rPr>
                <w:sz w:val="20"/>
                <w:szCs w:val="20"/>
              </w:rPr>
            </w:pPr>
          </w:p>
          <w:p w14:paraId="69FB8575" w14:textId="5DF1FC80" w:rsidR="00DE3DBC" w:rsidRPr="00F4563F" w:rsidRDefault="00D85A6A" w:rsidP="00A434B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cases where the student continues to </w:t>
            </w:r>
            <w:r w:rsidR="00A434BD">
              <w:rPr>
                <w:sz w:val="20"/>
                <w:szCs w:val="20"/>
              </w:rPr>
              <w:t>stagnate</w:t>
            </w:r>
            <w:r>
              <w:rPr>
                <w:sz w:val="20"/>
                <w:szCs w:val="20"/>
              </w:rPr>
              <w:t>, reconvene the IEP team.</w:t>
            </w:r>
          </w:p>
        </w:tc>
        <w:tc>
          <w:tcPr>
            <w:tcW w:w="5935" w:type="dxa"/>
          </w:tcPr>
          <w:p w14:paraId="713BD3EF" w14:textId="0A7EC9EA" w:rsidR="002342CB" w:rsidRPr="00F4563F" w:rsidRDefault="00A434BD" w:rsidP="00FF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Appraise</w:t>
            </w:r>
            <w:r w:rsidR="00C85F8F">
              <w:rPr>
                <w:sz w:val="20"/>
                <w:szCs w:val="20"/>
              </w:rPr>
              <w:t xml:space="preserve"> </w:t>
            </w:r>
            <w:r w:rsidR="00306D2D">
              <w:rPr>
                <w:sz w:val="20"/>
                <w:szCs w:val="20"/>
              </w:rPr>
              <w:t>findings from monthly data review</w:t>
            </w:r>
            <w:r w:rsidR="00FF01A4">
              <w:rPr>
                <w:sz w:val="20"/>
                <w:szCs w:val="20"/>
              </w:rPr>
              <w:t>, as well as provide feedback on</w:t>
            </w:r>
            <w:r w:rsidR="00306D2D">
              <w:rPr>
                <w:sz w:val="20"/>
                <w:szCs w:val="20"/>
              </w:rPr>
              <w:t xml:space="preserve"> action steps for scholars not making sufficient progress. </w:t>
            </w:r>
          </w:p>
        </w:tc>
      </w:tr>
      <w:tr w:rsidR="002342CB" w14:paraId="50359DFA" w14:textId="77777777" w:rsidTr="002937EE">
        <w:tc>
          <w:tcPr>
            <w:tcW w:w="1615" w:type="dxa"/>
            <w:vMerge/>
            <w:shd w:val="clear" w:color="auto" w:fill="DEEAF6" w:themeFill="accent1" w:themeFillTint="33"/>
          </w:tcPr>
          <w:p w14:paraId="396A437B" w14:textId="4964BCA8" w:rsidR="002342CB" w:rsidRDefault="002342CB" w:rsidP="0027746F">
            <w:pPr>
              <w:rPr>
                <w:b/>
              </w:rPr>
            </w:pPr>
          </w:p>
        </w:tc>
        <w:tc>
          <w:tcPr>
            <w:tcW w:w="6840" w:type="dxa"/>
          </w:tcPr>
          <w:p w14:paraId="3CABA465" w14:textId="61BDB97B" w:rsidR="002342CB" w:rsidRPr="00F4563F" w:rsidRDefault="00FF01A4" w:rsidP="00FF01A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Through the execution of strong authentic compliance systems, (</w:t>
            </w:r>
            <w:proofErr w:type="spellStart"/>
            <w:r>
              <w:rPr>
                <w:sz w:val="20"/>
                <w:szCs w:val="20"/>
              </w:rPr>
              <w:t>i.e</w:t>
            </w:r>
            <w:proofErr w:type="spellEnd"/>
            <w:r>
              <w:rPr>
                <w:sz w:val="20"/>
                <w:szCs w:val="20"/>
              </w:rPr>
              <w:t>: the 6-week checklist) m</w:t>
            </w:r>
            <w:r w:rsidR="002342CB" w:rsidRPr="00F4563F">
              <w:rPr>
                <w:sz w:val="20"/>
                <w:szCs w:val="20"/>
              </w:rPr>
              <w:t xml:space="preserve">aintain 100% IEP and </w:t>
            </w:r>
            <w:r>
              <w:rPr>
                <w:sz w:val="20"/>
                <w:szCs w:val="20"/>
              </w:rPr>
              <w:t>504 plan compliance.</w:t>
            </w:r>
            <w:r w:rsidR="002342CB">
              <w:rPr>
                <w:sz w:val="20"/>
                <w:szCs w:val="20"/>
              </w:rPr>
              <w:t xml:space="preserve"> This includes managing triennial testing</w:t>
            </w:r>
            <w:r>
              <w:rPr>
                <w:sz w:val="20"/>
                <w:szCs w:val="20"/>
              </w:rPr>
              <w:t>, sending home progress reports</w:t>
            </w:r>
            <w:r w:rsidR="002342CB">
              <w:rPr>
                <w:sz w:val="20"/>
                <w:szCs w:val="20"/>
              </w:rPr>
              <w:t xml:space="preserve"> and exiting students</w:t>
            </w:r>
            <w:r w:rsidR="00035458">
              <w:rPr>
                <w:sz w:val="20"/>
                <w:szCs w:val="20"/>
              </w:rPr>
              <w:t>, when appropriate</w:t>
            </w:r>
            <w:r w:rsidR="002342CB">
              <w:rPr>
                <w:sz w:val="20"/>
                <w:szCs w:val="20"/>
              </w:rPr>
              <w:t>.</w:t>
            </w:r>
            <w:r w:rsidR="0054550D">
              <w:rPr>
                <w:sz w:val="20"/>
                <w:szCs w:val="20"/>
              </w:rPr>
              <w:t xml:space="preserve"> </w:t>
            </w:r>
            <w:r w:rsidR="00035458">
              <w:rPr>
                <w:sz w:val="20"/>
                <w:szCs w:val="20"/>
              </w:rPr>
              <w:t>Within 5 days of an IEP or 504 meeting, u</w:t>
            </w:r>
            <w:r w:rsidR="0054550D">
              <w:rPr>
                <w:sz w:val="20"/>
                <w:szCs w:val="20"/>
              </w:rPr>
              <w:t xml:space="preserve">pdate IC and all IEP systems. </w:t>
            </w:r>
          </w:p>
        </w:tc>
        <w:tc>
          <w:tcPr>
            <w:tcW w:w="5935" w:type="dxa"/>
          </w:tcPr>
          <w:p w14:paraId="1FCE80F3" w14:textId="4A878314" w:rsidR="002342CB" w:rsidRPr="00F4563F" w:rsidRDefault="00306D2D" w:rsidP="0027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SPATA report and responses monthly.  If necessary, review compliance systems and set deadlines for 100% compliance. </w:t>
            </w:r>
            <w:r w:rsidR="002342CB" w:rsidRPr="00F4563F">
              <w:rPr>
                <w:sz w:val="20"/>
                <w:szCs w:val="20"/>
              </w:rPr>
              <w:t xml:space="preserve"> </w:t>
            </w:r>
          </w:p>
        </w:tc>
      </w:tr>
      <w:tr w:rsidR="002342CB" w14:paraId="7315465E" w14:textId="77777777" w:rsidTr="002937EE">
        <w:tc>
          <w:tcPr>
            <w:tcW w:w="1615" w:type="dxa"/>
            <w:vMerge/>
            <w:shd w:val="clear" w:color="auto" w:fill="DEEAF6" w:themeFill="accent1" w:themeFillTint="33"/>
          </w:tcPr>
          <w:p w14:paraId="33FA6666" w14:textId="77777777" w:rsidR="002342CB" w:rsidRDefault="002342CB" w:rsidP="0027746F">
            <w:pPr>
              <w:rPr>
                <w:b/>
              </w:rPr>
            </w:pPr>
          </w:p>
        </w:tc>
        <w:tc>
          <w:tcPr>
            <w:tcW w:w="6840" w:type="dxa"/>
          </w:tcPr>
          <w:p w14:paraId="09C01442" w14:textId="7567F96B" w:rsidR="001B0C03" w:rsidRDefault="001B0C03" w:rsidP="0054550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strong delegation practices, ensure</w:t>
            </w:r>
            <w:r w:rsidR="002342CB" w:rsidRPr="00F456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grade level special education teach</w:t>
            </w:r>
            <w:r w:rsidR="00FF01A4">
              <w:rPr>
                <w:sz w:val="20"/>
                <w:szCs w:val="20"/>
              </w:rPr>
              <w:t>ers draft, collect data on</w:t>
            </w:r>
            <w:r>
              <w:rPr>
                <w:sz w:val="20"/>
                <w:szCs w:val="20"/>
              </w:rPr>
              <w:t xml:space="preserve"> and implement IEPs and 504 plans. (This is called case management.)</w:t>
            </w:r>
          </w:p>
          <w:p w14:paraId="28372415" w14:textId="7AC7F8EA" w:rsidR="002342CB" w:rsidRPr="00F4563F" w:rsidRDefault="002342CB" w:rsidP="0054550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35" w:type="dxa"/>
          </w:tcPr>
          <w:p w14:paraId="667008FA" w14:textId="30D8857E" w:rsidR="002342CB" w:rsidRPr="00F4563F" w:rsidRDefault="00306D2D" w:rsidP="0027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Rehearse conversation</w:t>
            </w:r>
            <w:r w:rsidR="00FF01A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with special education teachers on case management responsibilities to ensure clarity. </w:t>
            </w:r>
          </w:p>
        </w:tc>
      </w:tr>
      <w:tr w:rsidR="002342CB" w14:paraId="0B53EE17" w14:textId="77777777" w:rsidTr="002937EE">
        <w:tc>
          <w:tcPr>
            <w:tcW w:w="1615" w:type="dxa"/>
            <w:vMerge/>
            <w:shd w:val="clear" w:color="auto" w:fill="DEEAF6" w:themeFill="accent1" w:themeFillTint="33"/>
          </w:tcPr>
          <w:p w14:paraId="12398567" w14:textId="77777777" w:rsidR="002342CB" w:rsidRDefault="002342CB" w:rsidP="0027746F">
            <w:pPr>
              <w:rPr>
                <w:b/>
              </w:rPr>
            </w:pPr>
          </w:p>
        </w:tc>
        <w:tc>
          <w:tcPr>
            <w:tcW w:w="6840" w:type="dxa"/>
          </w:tcPr>
          <w:p w14:paraId="43BF80A2" w14:textId="144C22DC" w:rsidR="002342CB" w:rsidRPr="00F4563F" w:rsidRDefault="002342CB" w:rsidP="00FF01A4">
            <w:pPr>
              <w:contextualSpacing/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>Manage a strong, professional relationship with the local district and act as the school administrator when meeting wi</w:t>
            </w:r>
            <w:r w:rsidR="00FF01A4">
              <w:rPr>
                <w:sz w:val="20"/>
                <w:szCs w:val="20"/>
              </w:rPr>
              <w:t>th the district (NY and CT only</w:t>
            </w:r>
            <w:r w:rsidRPr="00F4563F">
              <w:rPr>
                <w:sz w:val="20"/>
                <w:szCs w:val="20"/>
              </w:rPr>
              <w:t>.</w:t>
            </w:r>
            <w:r w:rsidR="00FF01A4">
              <w:rPr>
                <w:sz w:val="20"/>
                <w:szCs w:val="20"/>
              </w:rPr>
              <w:t>)</w:t>
            </w:r>
            <w:r w:rsidR="0054550D">
              <w:rPr>
                <w:sz w:val="20"/>
                <w:szCs w:val="20"/>
              </w:rPr>
              <w:t xml:space="preserve"> </w:t>
            </w:r>
            <w:r w:rsidR="00FF01A4">
              <w:rPr>
                <w:sz w:val="20"/>
                <w:szCs w:val="20"/>
              </w:rPr>
              <w:t xml:space="preserve">Loop in TSS </w:t>
            </w:r>
            <w:r w:rsidR="0054550D">
              <w:rPr>
                <w:sz w:val="20"/>
                <w:szCs w:val="20"/>
              </w:rPr>
              <w:t xml:space="preserve">when issues arise with the district. </w:t>
            </w:r>
            <w:r w:rsidR="007B05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35" w:type="dxa"/>
          </w:tcPr>
          <w:p w14:paraId="24B693E1" w14:textId="77777777" w:rsidR="002342CB" w:rsidRPr="00F4563F" w:rsidRDefault="002342CB" w:rsidP="0027746F">
            <w:pPr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 xml:space="preserve">Practice high stakes conversations and provide feedback.  </w:t>
            </w:r>
          </w:p>
        </w:tc>
      </w:tr>
      <w:tr w:rsidR="002342CB" w14:paraId="457003DE" w14:textId="77777777" w:rsidTr="002937EE">
        <w:tc>
          <w:tcPr>
            <w:tcW w:w="1615" w:type="dxa"/>
            <w:vMerge/>
            <w:shd w:val="clear" w:color="auto" w:fill="DEEAF6" w:themeFill="accent1" w:themeFillTint="33"/>
          </w:tcPr>
          <w:p w14:paraId="2DE1A98B" w14:textId="77777777" w:rsidR="002342CB" w:rsidRDefault="002342CB" w:rsidP="00E175D0">
            <w:pPr>
              <w:rPr>
                <w:b/>
              </w:rPr>
            </w:pPr>
          </w:p>
        </w:tc>
        <w:tc>
          <w:tcPr>
            <w:tcW w:w="6840" w:type="dxa"/>
          </w:tcPr>
          <w:p w14:paraId="45321462" w14:textId="77777777" w:rsidR="002342CB" w:rsidRPr="00F4563F" w:rsidRDefault="002342CB" w:rsidP="00E175D0">
            <w:pPr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>Communicate information about student IEPs and funding levels to the DSO to claim funding.</w:t>
            </w:r>
          </w:p>
        </w:tc>
        <w:tc>
          <w:tcPr>
            <w:tcW w:w="5935" w:type="dxa"/>
          </w:tcPr>
          <w:p w14:paraId="2D44DA1B" w14:textId="745F2CB1" w:rsidR="002342CB" w:rsidRPr="00F4563F" w:rsidRDefault="002342CB" w:rsidP="00E175D0">
            <w:pPr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>Review monthly/quarterly SPED bill to ensure accuracy</w:t>
            </w:r>
            <w:r w:rsidR="00FF01A4">
              <w:rPr>
                <w:sz w:val="20"/>
                <w:szCs w:val="20"/>
              </w:rPr>
              <w:t xml:space="preserve"> (district specific timeline.)</w:t>
            </w:r>
          </w:p>
        </w:tc>
      </w:tr>
      <w:tr w:rsidR="002342CB" w14:paraId="6DA468B2" w14:textId="77777777" w:rsidTr="009D1CAA">
        <w:tc>
          <w:tcPr>
            <w:tcW w:w="1615" w:type="dxa"/>
            <w:vMerge/>
            <w:shd w:val="clear" w:color="auto" w:fill="FFFFFF" w:themeFill="background1"/>
          </w:tcPr>
          <w:p w14:paraId="445B4CB7" w14:textId="77777777" w:rsidR="002342CB" w:rsidRPr="00DF3333" w:rsidRDefault="002342CB" w:rsidP="00E175D0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FFFFFF" w:themeFill="background1"/>
          </w:tcPr>
          <w:p w14:paraId="7D9AF1D4" w14:textId="3A225E69" w:rsidR="002342CB" w:rsidRPr="00F4563F" w:rsidRDefault="002342CB" w:rsidP="00FF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Facilitate the MDR process with the district</w:t>
            </w:r>
            <w:r w:rsidR="00FF01A4">
              <w:rPr>
                <w:sz w:val="20"/>
                <w:szCs w:val="20"/>
              </w:rPr>
              <w:t xml:space="preserve"> (</w:t>
            </w:r>
            <w:r w:rsidR="00C7193D">
              <w:rPr>
                <w:sz w:val="20"/>
                <w:szCs w:val="20"/>
              </w:rPr>
              <w:t>for s</w:t>
            </w:r>
            <w:r w:rsidR="00FF01A4">
              <w:rPr>
                <w:sz w:val="20"/>
                <w:szCs w:val="20"/>
              </w:rPr>
              <w:t xml:space="preserve">tudents with IEPs in NY and CT), </w:t>
            </w:r>
            <w:r w:rsidR="00C7193D">
              <w:rPr>
                <w:sz w:val="20"/>
                <w:szCs w:val="20"/>
              </w:rPr>
              <w:t>and indep</w:t>
            </w:r>
            <w:r w:rsidR="00FF01A4">
              <w:rPr>
                <w:sz w:val="20"/>
                <w:szCs w:val="20"/>
              </w:rPr>
              <w:t>endently for students with 504s. In RI, facilitate the MDR process for all scholars with IEPs and 504s.</w:t>
            </w:r>
          </w:p>
        </w:tc>
        <w:tc>
          <w:tcPr>
            <w:tcW w:w="5935" w:type="dxa"/>
            <w:shd w:val="clear" w:color="auto" w:fill="FFFFFF" w:themeFill="background1"/>
          </w:tcPr>
          <w:p w14:paraId="3C3C3AB1" w14:textId="506241D1" w:rsidR="002342CB" w:rsidRPr="00F4563F" w:rsidRDefault="00306D2D" w:rsidP="00E17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MDR meetings, identify gaps in district partnership, and provide feedback on facilitation.</w:t>
            </w:r>
          </w:p>
        </w:tc>
      </w:tr>
      <w:tr w:rsidR="00C33B06" w14:paraId="6C402DAD" w14:textId="77777777" w:rsidTr="002937EE">
        <w:tc>
          <w:tcPr>
            <w:tcW w:w="1615" w:type="dxa"/>
            <w:vMerge w:val="restart"/>
            <w:shd w:val="clear" w:color="auto" w:fill="DEEAF6" w:themeFill="accent1" w:themeFillTint="33"/>
          </w:tcPr>
          <w:p w14:paraId="75512F1E" w14:textId="77777777" w:rsidR="00C33B06" w:rsidRDefault="00C33B06" w:rsidP="00D514D0">
            <w:pPr>
              <w:rPr>
                <w:b/>
              </w:rPr>
            </w:pPr>
            <w:r>
              <w:rPr>
                <w:b/>
              </w:rPr>
              <w:t>Child Find (5%)</w:t>
            </w:r>
          </w:p>
        </w:tc>
        <w:tc>
          <w:tcPr>
            <w:tcW w:w="6840" w:type="dxa"/>
          </w:tcPr>
          <w:p w14:paraId="46897913" w14:textId="0FE8A8AE" w:rsidR="00C33B06" w:rsidRPr="00F4563F" w:rsidRDefault="00C33B06" w:rsidP="00E175D0">
            <w:pPr>
              <w:contextualSpacing/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>Manage the “Child Find”</w:t>
            </w:r>
            <w:r>
              <w:rPr>
                <w:sz w:val="20"/>
                <w:szCs w:val="20"/>
              </w:rPr>
              <w:t xml:space="preserve"> (intake)</w:t>
            </w:r>
            <w:r w:rsidRPr="00F4563F">
              <w:rPr>
                <w:sz w:val="20"/>
                <w:szCs w:val="20"/>
              </w:rPr>
              <w:t xml:space="preserve"> process for incoming students with IEPs.</w:t>
            </w:r>
          </w:p>
        </w:tc>
        <w:tc>
          <w:tcPr>
            <w:tcW w:w="5935" w:type="dxa"/>
          </w:tcPr>
          <w:p w14:paraId="22F6AC64" w14:textId="172EB1FE" w:rsidR="00C33B06" w:rsidRPr="00F4563F" w:rsidRDefault="00306D2D" w:rsidP="00E17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list of newly enrolled students with IEPs.  In situations where students are not identified immediately upon enrollment, review and refine child find systems. </w:t>
            </w:r>
          </w:p>
        </w:tc>
      </w:tr>
      <w:tr w:rsidR="00C33B06" w14:paraId="171645DE" w14:textId="77777777" w:rsidTr="002937EE">
        <w:tc>
          <w:tcPr>
            <w:tcW w:w="1615" w:type="dxa"/>
            <w:vMerge/>
            <w:shd w:val="clear" w:color="auto" w:fill="DEEAF6" w:themeFill="accent1" w:themeFillTint="33"/>
          </w:tcPr>
          <w:p w14:paraId="75252C46" w14:textId="77777777" w:rsidR="00C33B06" w:rsidRDefault="00C33B06" w:rsidP="00E175D0">
            <w:pPr>
              <w:rPr>
                <w:b/>
              </w:rPr>
            </w:pPr>
          </w:p>
        </w:tc>
        <w:tc>
          <w:tcPr>
            <w:tcW w:w="6840" w:type="dxa"/>
          </w:tcPr>
          <w:p w14:paraId="2E205EF5" w14:textId="538CB817" w:rsidR="00C33B06" w:rsidRPr="00F4563F" w:rsidRDefault="00C33B06" w:rsidP="00E175D0">
            <w:pPr>
              <w:contextualSpacing/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 xml:space="preserve">Manage the initial referral process, simultaneously identifying students with potential disabilities while actively working against the </w:t>
            </w:r>
            <w:proofErr w:type="spellStart"/>
            <w:r w:rsidRPr="00F4563F">
              <w:rPr>
                <w:sz w:val="20"/>
                <w:szCs w:val="20"/>
              </w:rPr>
              <w:t>mis</w:t>
            </w:r>
            <w:proofErr w:type="spellEnd"/>
            <w:r w:rsidRPr="00F4563F">
              <w:rPr>
                <w:sz w:val="20"/>
                <w:szCs w:val="20"/>
              </w:rPr>
              <w:t xml:space="preserve">- and over-referral of students </w:t>
            </w:r>
            <w:r w:rsidR="00FF01A4">
              <w:rPr>
                <w:sz w:val="20"/>
                <w:szCs w:val="20"/>
              </w:rPr>
              <w:t xml:space="preserve">which is </w:t>
            </w:r>
            <w:r w:rsidRPr="00F4563F">
              <w:rPr>
                <w:sz w:val="20"/>
                <w:szCs w:val="20"/>
              </w:rPr>
              <w:t>frequent in low income areas.</w:t>
            </w:r>
          </w:p>
        </w:tc>
        <w:tc>
          <w:tcPr>
            <w:tcW w:w="5935" w:type="dxa"/>
          </w:tcPr>
          <w:p w14:paraId="2AE7BBA4" w14:textId="79A55819" w:rsidR="00C33B06" w:rsidRPr="00F4563F" w:rsidRDefault="00FF01A4" w:rsidP="00FF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</w:t>
            </w:r>
            <w:r w:rsidR="00306D2D">
              <w:rPr>
                <w:sz w:val="20"/>
                <w:szCs w:val="20"/>
              </w:rPr>
              <w:t xml:space="preserve"> the initial referral tracker in the SPATA report and review </w:t>
            </w:r>
            <w:r>
              <w:rPr>
                <w:sz w:val="20"/>
                <w:szCs w:val="20"/>
              </w:rPr>
              <w:t>SSL checks</w:t>
            </w:r>
            <w:r w:rsidR="00306D2D">
              <w:rPr>
                <w:sz w:val="20"/>
                <w:szCs w:val="20"/>
              </w:rPr>
              <w:t xml:space="preserve"> to avoid the over-identification of scholars. </w:t>
            </w:r>
          </w:p>
        </w:tc>
      </w:tr>
      <w:tr w:rsidR="00C33B06" w14:paraId="4313A5AE" w14:textId="77777777" w:rsidTr="00DF3333">
        <w:tc>
          <w:tcPr>
            <w:tcW w:w="1615" w:type="dxa"/>
            <w:vMerge/>
            <w:shd w:val="clear" w:color="auto" w:fill="DEEAF6" w:themeFill="accent1" w:themeFillTint="33"/>
          </w:tcPr>
          <w:p w14:paraId="215CB9EF" w14:textId="77777777" w:rsidR="00C33B06" w:rsidRDefault="00C33B06" w:rsidP="00E175D0">
            <w:pPr>
              <w:rPr>
                <w:b/>
              </w:rPr>
            </w:pPr>
          </w:p>
        </w:tc>
        <w:tc>
          <w:tcPr>
            <w:tcW w:w="6840" w:type="dxa"/>
            <w:shd w:val="clear" w:color="auto" w:fill="FFFFFF" w:themeFill="background1"/>
          </w:tcPr>
          <w:p w14:paraId="7D55C98E" w14:textId="250CA9CF" w:rsidR="00C33B06" w:rsidRPr="00F4563F" w:rsidRDefault="00C33B06" w:rsidP="0053147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Advocate with families of students with severe and significant disabilities to ensure t</w:t>
            </w:r>
            <w:r w:rsidR="00FF01A4">
              <w:rPr>
                <w:sz w:val="20"/>
                <w:szCs w:val="20"/>
              </w:rPr>
              <w:t>hat students are receiving high-</w:t>
            </w:r>
            <w:r>
              <w:rPr>
                <w:sz w:val="20"/>
                <w:szCs w:val="20"/>
              </w:rPr>
              <w:t>quality instruction, including managing outplacement in rare cases where appropriate</w:t>
            </w:r>
            <w:r w:rsidR="00306D2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35" w:type="dxa"/>
            <w:shd w:val="clear" w:color="auto" w:fill="FFFFFF" w:themeFill="background1"/>
          </w:tcPr>
          <w:p w14:paraId="5F225494" w14:textId="7C7E442A" w:rsidR="00C33B06" w:rsidRPr="00F4563F" w:rsidRDefault="00C30108" w:rsidP="00E17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Co-facilitate difficult conversations with families.</w:t>
            </w:r>
          </w:p>
        </w:tc>
      </w:tr>
      <w:tr w:rsidR="007611AB" w14:paraId="788794FC" w14:textId="77777777" w:rsidTr="00DF3333">
        <w:trPr>
          <w:trHeight w:val="818"/>
        </w:trPr>
        <w:tc>
          <w:tcPr>
            <w:tcW w:w="1615" w:type="dxa"/>
            <w:vMerge w:val="restart"/>
            <w:shd w:val="clear" w:color="auto" w:fill="DEEAF6" w:themeFill="accent1" w:themeFillTint="33"/>
          </w:tcPr>
          <w:p w14:paraId="4C830D78" w14:textId="77777777" w:rsidR="007611AB" w:rsidRDefault="007611AB" w:rsidP="00D514D0">
            <w:pPr>
              <w:rPr>
                <w:b/>
              </w:rPr>
            </w:pPr>
            <w:r>
              <w:rPr>
                <w:b/>
              </w:rPr>
              <w:t>Service delivery, including Co-teaching (</w:t>
            </w:r>
            <w:r w:rsidR="00D514D0">
              <w:rPr>
                <w:b/>
              </w:rPr>
              <w:t>10</w:t>
            </w:r>
            <w:r>
              <w:rPr>
                <w:b/>
              </w:rPr>
              <w:t>%)</w:t>
            </w:r>
          </w:p>
        </w:tc>
        <w:tc>
          <w:tcPr>
            <w:tcW w:w="6840" w:type="dxa"/>
          </w:tcPr>
          <w:p w14:paraId="5AA89ACB" w14:textId="29E986DD" w:rsidR="007611AB" w:rsidRPr="00F4563F" w:rsidRDefault="007611AB" w:rsidP="00FF01A4">
            <w:pPr>
              <w:contextualSpacing/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>Coordinate IEP program services</w:t>
            </w:r>
            <w:r w:rsidR="00303E23">
              <w:rPr>
                <w:sz w:val="20"/>
                <w:szCs w:val="20"/>
              </w:rPr>
              <w:t xml:space="preserve"> (SETSS/resource room, ICT/CTT, etc.)</w:t>
            </w:r>
            <w:r w:rsidR="00FF01A4">
              <w:rPr>
                <w:sz w:val="20"/>
                <w:szCs w:val="20"/>
              </w:rPr>
              <w:t>. E</w:t>
            </w:r>
            <w:r w:rsidRPr="00F4563F">
              <w:rPr>
                <w:sz w:val="20"/>
                <w:szCs w:val="20"/>
              </w:rPr>
              <w:t>nsure all teachers know their spec</w:t>
            </w:r>
            <w:r w:rsidR="00FF01A4">
              <w:rPr>
                <w:sz w:val="20"/>
                <w:szCs w:val="20"/>
              </w:rPr>
              <w:t xml:space="preserve">ial education responsibilities </w:t>
            </w:r>
            <w:r w:rsidRPr="00F4563F">
              <w:rPr>
                <w:sz w:val="20"/>
                <w:szCs w:val="20"/>
              </w:rPr>
              <w:t>and conduct regular walk-throughs to ensure accommodations</w:t>
            </w:r>
            <w:r w:rsidR="00D85A6A">
              <w:rPr>
                <w:sz w:val="20"/>
                <w:szCs w:val="20"/>
              </w:rPr>
              <w:t xml:space="preserve"> and modifications</w:t>
            </w:r>
            <w:r w:rsidRPr="00F4563F">
              <w:rPr>
                <w:sz w:val="20"/>
                <w:szCs w:val="20"/>
              </w:rPr>
              <w:t xml:space="preserve"> are provide</w:t>
            </w:r>
            <w:r w:rsidR="000F266C">
              <w:rPr>
                <w:sz w:val="20"/>
                <w:szCs w:val="20"/>
              </w:rPr>
              <w:t>d</w:t>
            </w:r>
            <w:r w:rsidRPr="00F4563F">
              <w:rPr>
                <w:sz w:val="20"/>
                <w:szCs w:val="20"/>
              </w:rPr>
              <w:t xml:space="preserve"> with fidelity</w:t>
            </w:r>
            <w:r w:rsidR="003737B3" w:rsidRPr="00F4563F">
              <w:rPr>
                <w:sz w:val="20"/>
                <w:szCs w:val="20"/>
              </w:rPr>
              <w:t>.</w:t>
            </w:r>
            <w:r w:rsidR="00D85A6A">
              <w:rPr>
                <w:sz w:val="20"/>
                <w:szCs w:val="20"/>
              </w:rPr>
              <w:t xml:space="preserve"> (Modifications are </w:t>
            </w:r>
            <w:r w:rsidR="00FF01A4">
              <w:rPr>
                <w:sz w:val="20"/>
                <w:szCs w:val="20"/>
              </w:rPr>
              <w:t>rare</w:t>
            </w:r>
            <w:r w:rsidR="00D85A6A">
              <w:rPr>
                <w:sz w:val="20"/>
                <w:szCs w:val="20"/>
              </w:rPr>
              <w:t>.)</w:t>
            </w:r>
          </w:p>
        </w:tc>
        <w:tc>
          <w:tcPr>
            <w:tcW w:w="5935" w:type="dxa"/>
          </w:tcPr>
          <w:p w14:paraId="114754A9" w14:textId="2A1C34CB" w:rsidR="007611AB" w:rsidRPr="00F4563F" w:rsidRDefault="00306D2D" w:rsidP="00306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walk-through observation data and </w:t>
            </w:r>
            <w:r w:rsidRPr="00EE049E">
              <w:rPr>
                <w:sz w:val="20"/>
                <w:szCs w:val="20"/>
              </w:rPr>
              <w:t>ensure teacher actions steps are specific, high-impact, and transferrable</w:t>
            </w:r>
            <w:r>
              <w:rPr>
                <w:sz w:val="20"/>
                <w:szCs w:val="20"/>
              </w:rPr>
              <w:t>.  If necessary, co-observe.</w:t>
            </w:r>
          </w:p>
        </w:tc>
      </w:tr>
      <w:tr w:rsidR="007611AB" w14:paraId="30546476" w14:textId="77777777" w:rsidTr="002937EE">
        <w:tc>
          <w:tcPr>
            <w:tcW w:w="1615" w:type="dxa"/>
            <w:vMerge/>
            <w:shd w:val="clear" w:color="auto" w:fill="DEEAF6" w:themeFill="accent1" w:themeFillTint="33"/>
          </w:tcPr>
          <w:p w14:paraId="046B6D3B" w14:textId="77777777" w:rsidR="007611AB" w:rsidRDefault="007611AB" w:rsidP="00E175D0">
            <w:pPr>
              <w:rPr>
                <w:b/>
              </w:rPr>
            </w:pPr>
          </w:p>
        </w:tc>
        <w:tc>
          <w:tcPr>
            <w:tcW w:w="6840" w:type="dxa"/>
          </w:tcPr>
          <w:p w14:paraId="284A1048" w14:textId="5A1778F6" w:rsidR="007611AB" w:rsidRPr="00F4563F" w:rsidRDefault="00A66267" w:rsidP="00A6626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mandate</w:t>
            </w:r>
            <w:r w:rsidR="00531472">
              <w:rPr>
                <w:sz w:val="20"/>
                <w:szCs w:val="20"/>
              </w:rPr>
              <w:t xml:space="preserve">d related services happen in accordance with the student’s IEP </w:t>
            </w:r>
            <w:r w:rsidR="00531472">
              <w:rPr>
                <w:sz w:val="20"/>
                <w:szCs w:val="20"/>
              </w:rPr>
              <w:lastRenderedPageBreak/>
              <w:t>or 504 plan</w:t>
            </w:r>
            <w:r>
              <w:rPr>
                <w:sz w:val="20"/>
                <w:szCs w:val="20"/>
              </w:rPr>
              <w:t>.  This includes c</w:t>
            </w:r>
            <w:r w:rsidR="007611AB" w:rsidRPr="00F4563F">
              <w:rPr>
                <w:sz w:val="20"/>
                <w:szCs w:val="20"/>
              </w:rPr>
              <w:t>ontract</w:t>
            </w:r>
            <w:r>
              <w:rPr>
                <w:sz w:val="20"/>
                <w:szCs w:val="20"/>
              </w:rPr>
              <w:t>ing</w:t>
            </w:r>
            <w:r w:rsidR="007611AB" w:rsidRPr="00F4563F">
              <w:rPr>
                <w:sz w:val="20"/>
                <w:szCs w:val="20"/>
              </w:rPr>
              <w:t>, coordinat</w:t>
            </w:r>
            <w:r>
              <w:rPr>
                <w:sz w:val="20"/>
                <w:szCs w:val="20"/>
              </w:rPr>
              <w:t>ing</w:t>
            </w:r>
            <w:r w:rsidR="007611AB" w:rsidRPr="00F4563F">
              <w:rPr>
                <w:sz w:val="20"/>
                <w:szCs w:val="20"/>
              </w:rPr>
              <w:t>, and oversee</w:t>
            </w:r>
            <w:r>
              <w:rPr>
                <w:sz w:val="20"/>
                <w:szCs w:val="20"/>
              </w:rPr>
              <w:t>ing</w:t>
            </w:r>
            <w:r w:rsidR="007611AB" w:rsidRPr="00F4563F">
              <w:rPr>
                <w:sz w:val="20"/>
                <w:szCs w:val="20"/>
              </w:rPr>
              <w:t xml:space="preserve"> all related services</w:t>
            </w:r>
            <w:r w:rsidR="00C4212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935" w:type="dxa"/>
          </w:tcPr>
          <w:p w14:paraId="3C5F5533" w14:textId="5141C887" w:rsidR="007611AB" w:rsidRPr="00F4563F" w:rsidRDefault="00306D2D" w:rsidP="00E17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Review the performance of related service providers. If necessary, co-</w:t>
            </w:r>
            <w:r>
              <w:rPr>
                <w:sz w:val="20"/>
                <w:szCs w:val="20"/>
              </w:rPr>
              <w:lastRenderedPageBreak/>
              <w:t xml:space="preserve">plan supports for related service providers not meeting expectations. </w:t>
            </w:r>
            <w:r w:rsidR="007611AB" w:rsidRPr="00F4563F">
              <w:rPr>
                <w:sz w:val="20"/>
                <w:szCs w:val="20"/>
              </w:rPr>
              <w:t xml:space="preserve"> </w:t>
            </w:r>
          </w:p>
        </w:tc>
      </w:tr>
      <w:tr w:rsidR="00302F1D" w14:paraId="350E3188" w14:textId="77777777" w:rsidTr="009D1CAA">
        <w:trPr>
          <w:trHeight w:val="523"/>
        </w:trPr>
        <w:tc>
          <w:tcPr>
            <w:tcW w:w="1615" w:type="dxa"/>
            <w:vMerge/>
            <w:shd w:val="clear" w:color="auto" w:fill="DEEAF6" w:themeFill="accent1" w:themeFillTint="33"/>
          </w:tcPr>
          <w:p w14:paraId="309EE207" w14:textId="77777777" w:rsidR="00302F1D" w:rsidRDefault="00302F1D" w:rsidP="00E175D0">
            <w:pPr>
              <w:rPr>
                <w:b/>
              </w:rPr>
            </w:pPr>
          </w:p>
        </w:tc>
        <w:tc>
          <w:tcPr>
            <w:tcW w:w="6840" w:type="dxa"/>
          </w:tcPr>
          <w:p w14:paraId="5A51F43E" w14:textId="734EEAFE" w:rsidR="00302F1D" w:rsidRPr="00F4563F" w:rsidRDefault="00302F1D" w:rsidP="00BF631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Execute AF’s</w:t>
            </w:r>
            <w:r w:rsidRPr="00F4563F">
              <w:rPr>
                <w:sz w:val="20"/>
                <w:szCs w:val="20"/>
              </w:rPr>
              <w:t xml:space="preserve"> vision and execute a strong co-teaching program</w:t>
            </w:r>
            <w:r>
              <w:rPr>
                <w:sz w:val="20"/>
                <w:szCs w:val="20"/>
              </w:rPr>
              <w:t xml:space="preserve">, including using </w:t>
            </w:r>
            <w:r w:rsidR="00F94FFD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co</w:t>
            </w:r>
            <w:r w:rsidR="0014223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teaching rubric to assess program and prioritize key actions.  </w:t>
            </w:r>
          </w:p>
        </w:tc>
        <w:tc>
          <w:tcPr>
            <w:tcW w:w="5935" w:type="dxa"/>
          </w:tcPr>
          <w:p w14:paraId="1513D63A" w14:textId="4CD237C7" w:rsidR="00302F1D" w:rsidRPr="00F4563F" w:rsidRDefault="00BF6312" w:rsidP="00BF6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co-teaching observation data and </w:t>
            </w:r>
            <w:r w:rsidRPr="00EE049E">
              <w:rPr>
                <w:sz w:val="20"/>
                <w:szCs w:val="20"/>
              </w:rPr>
              <w:t>ensure teacher actions steps are specific, high-impact, and transferrable</w:t>
            </w:r>
            <w:r>
              <w:rPr>
                <w:sz w:val="20"/>
                <w:szCs w:val="20"/>
              </w:rPr>
              <w:t>.  If necessary, co-observe.</w:t>
            </w:r>
          </w:p>
        </w:tc>
      </w:tr>
      <w:tr w:rsidR="007611AB" w14:paraId="00BA68F3" w14:textId="77777777" w:rsidTr="002937EE">
        <w:tc>
          <w:tcPr>
            <w:tcW w:w="1615" w:type="dxa"/>
            <w:vMerge w:val="restart"/>
            <w:shd w:val="clear" w:color="auto" w:fill="DEEAF6" w:themeFill="accent1" w:themeFillTint="33"/>
          </w:tcPr>
          <w:p w14:paraId="62236FCB" w14:textId="77777777" w:rsidR="007611AB" w:rsidRDefault="007611AB" w:rsidP="00D514D0">
            <w:pPr>
              <w:rPr>
                <w:b/>
              </w:rPr>
            </w:pPr>
            <w:r>
              <w:rPr>
                <w:b/>
              </w:rPr>
              <w:t>Other (</w:t>
            </w:r>
            <w:r w:rsidR="00D514D0">
              <w:rPr>
                <w:b/>
              </w:rPr>
              <w:t>5</w:t>
            </w:r>
            <w:r>
              <w:rPr>
                <w:b/>
              </w:rPr>
              <w:t>%)</w:t>
            </w:r>
          </w:p>
        </w:tc>
        <w:tc>
          <w:tcPr>
            <w:tcW w:w="6840" w:type="dxa"/>
          </w:tcPr>
          <w:p w14:paraId="04849704" w14:textId="2E13F489" w:rsidR="007611AB" w:rsidRPr="00F4563F" w:rsidRDefault="007611AB" w:rsidP="00E175D0">
            <w:pPr>
              <w:contextualSpacing/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>Partner with other school leaders to co</w:t>
            </w:r>
            <w:r w:rsidR="00302F1D">
              <w:rPr>
                <w:sz w:val="20"/>
                <w:szCs w:val="20"/>
              </w:rPr>
              <w:t>ordinate testing accommodations</w:t>
            </w:r>
            <w:r w:rsidR="00D85A6A">
              <w:rPr>
                <w:sz w:val="20"/>
                <w:szCs w:val="20"/>
              </w:rPr>
              <w:t xml:space="preserve"> and modifications</w:t>
            </w:r>
            <w:r w:rsidR="00302F1D">
              <w:rPr>
                <w:sz w:val="20"/>
                <w:szCs w:val="20"/>
              </w:rPr>
              <w:t>.</w:t>
            </w:r>
            <w:r w:rsidR="00D85A6A">
              <w:rPr>
                <w:sz w:val="20"/>
                <w:szCs w:val="20"/>
              </w:rPr>
              <w:t xml:space="preserve">  (Modifications are rare.)</w:t>
            </w:r>
            <w:r w:rsidR="00302F1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935" w:type="dxa"/>
          </w:tcPr>
          <w:p w14:paraId="6DA226E1" w14:textId="09FBD900" w:rsidR="007611AB" w:rsidRPr="00F4563F" w:rsidRDefault="007611AB" w:rsidP="006C64BD">
            <w:pPr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 xml:space="preserve">Review student accommodations </w:t>
            </w:r>
            <w:r w:rsidR="006C64BD">
              <w:rPr>
                <w:sz w:val="20"/>
                <w:szCs w:val="20"/>
              </w:rPr>
              <w:t>and modification plan</w:t>
            </w:r>
            <w:r w:rsidRPr="00F4563F">
              <w:rPr>
                <w:sz w:val="20"/>
                <w:szCs w:val="20"/>
              </w:rPr>
              <w:t xml:space="preserve"> </w:t>
            </w:r>
            <w:r w:rsidR="00BF6312">
              <w:rPr>
                <w:sz w:val="20"/>
                <w:szCs w:val="20"/>
              </w:rPr>
              <w:t>and provide feedback on any gaps.</w:t>
            </w:r>
            <w:r w:rsidRPr="00F4563F">
              <w:rPr>
                <w:sz w:val="20"/>
                <w:szCs w:val="20"/>
              </w:rPr>
              <w:t xml:space="preserve"> </w:t>
            </w:r>
          </w:p>
        </w:tc>
      </w:tr>
      <w:tr w:rsidR="00302F1D" w14:paraId="4BC3F011" w14:textId="77777777" w:rsidTr="002937EE">
        <w:tc>
          <w:tcPr>
            <w:tcW w:w="1615" w:type="dxa"/>
            <w:vMerge/>
            <w:shd w:val="clear" w:color="auto" w:fill="DEEAF6" w:themeFill="accent1" w:themeFillTint="33"/>
          </w:tcPr>
          <w:p w14:paraId="2D2BB550" w14:textId="77777777" w:rsidR="00302F1D" w:rsidRDefault="00302F1D" w:rsidP="00D514D0">
            <w:pPr>
              <w:rPr>
                <w:b/>
              </w:rPr>
            </w:pPr>
          </w:p>
        </w:tc>
        <w:tc>
          <w:tcPr>
            <w:tcW w:w="6840" w:type="dxa"/>
          </w:tcPr>
          <w:p w14:paraId="00D78BB1" w14:textId="7EFA0602" w:rsidR="00302F1D" w:rsidRPr="00F4563F" w:rsidRDefault="001B0C03" w:rsidP="001B0C0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alternative assessments. (This is a RARE situation and determined through the IEP process</w:t>
            </w:r>
            <w:r w:rsidR="00BF631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935" w:type="dxa"/>
          </w:tcPr>
          <w:p w14:paraId="6816BFAB" w14:textId="77777777" w:rsidR="00302F1D" w:rsidRPr="00F4563F" w:rsidRDefault="00302F1D" w:rsidP="00E175D0">
            <w:pPr>
              <w:rPr>
                <w:sz w:val="20"/>
                <w:szCs w:val="20"/>
              </w:rPr>
            </w:pPr>
          </w:p>
        </w:tc>
      </w:tr>
      <w:tr w:rsidR="007611AB" w14:paraId="0FB347CD" w14:textId="77777777" w:rsidTr="002937EE">
        <w:tc>
          <w:tcPr>
            <w:tcW w:w="1615" w:type="dxa"/>
            <w:vMerge/>
            <w:shd w:val="clear" w:color="auto" w:fill="DEEAF6" w:themeFill="accent1" w:themeFillTint="33"/>
          </w:tcPr>
          <w:p w14:paraId="0A58D246" w14:textId="77777777" w:rsidR="007611AB" w:rsidRDefault="007611AB" w:rsidP="00E175D0">
            <w:pPr>
              <w:rPr>
                <w:b/>
              </w:rPr>
            </w:pPr>
          </w:p>
        </w:tc>
        <w:tc>
          <w:tcPr>
            <w:tcW w:w="6840" w:type="dxa"/>
          </w:tcPr>
          <w:p w14:paraId="0C87906A" w14:textId="5F461939" w:rsidR="007611AB" w:rsidRPr="00F4563F" w:rsidRDefault="007611AB" w:rsidP="00E175D0">
            <w:pPr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 xml:space="preserve">Manage </w:t>
            </w:r>
            <w:proofErr w:type="gramStart"/>
            <w:r w:rsidRPr="00F4563F">
              <w:rPr>
                <w:sz w:val="20"/>
                <w:szCs w:val="20"/>
              </w:rPr>
              <w:t>ELLs</w:t>
            </w:r>
            <w:proofErr w:type="gramEnd"/>
            <w:r w:rsidRPr="00F4563F">
              <w:rPr>
                <w:sz w:val="20"/>
                <w:szCs w:val="20"/>
              </w:rPr>
              <w:t xml:space="preserve"> ident</w:t>
            </w:r>
            <w:r w:rsidR="001B0C03">
              <w:rPr>
                <w:sz w:val="20"/>
                <w:szCs w:val="20"/>
              </w:rPr>
              <w:t>ification, service, and testing.</w:t>
            </w:r>
          </w:p>
        </w:tc>
        <w:tc>
          <w:tcPr>
            <w:tcW w:w="5935" w:type="dxa"/>
          </w:tcPr>
          <w:p w14:paraId="47BBEE57" w14:textId="7D59C5AC" w:rsidR="007611AB" w:rsidRPr="00F4563F" w:rsidRDefault="007611AB" w:rsidP="00E175D0">
            <w:pPr>
              <w:rPr>
                <w:sz w:val="20"/>
                <w:szCs w:val="20"/>
              </w:rPr>
            </w:pPr>
          </w:p>
        </w:tc>
      </w:tr>
      <w:tr w:rsidR="007611AB" w14:paraId="5763CB23" w14:textId="77777777" w:rsidTr="002937EE">
        <w:tc>
          <w:tcPr>
            <w:tcW w:w="1615" w:type="dxa"/>
            <w:vMerge/>
            <w:shd w:val="clear" w:color="auto" w:fill="DEEAF6" w:themeFill="accent1" w:themeFillTint="33"/>
          </w:tcPr>
          <w:p w14:paraId="6BD64A81" w14:textId="77777777" w:rsidR="007611AB" w:rsidRDefault="007611AB" w:rsidP="00E175D0">
            <w:pPr>
              <w:rPr>
                <w:b/>
              </w:rPr>
            </w:pPr>
          </w:p>
        </w:tc>
        <w:tc>
          <w:tcPr>
            <w:tcW w:w="6840" w:type="dxa"/>
          </w:tcPr>
          <w:p w14:paraId="16F51833" w14:textId="299E68B4" w:rsidR="007611AB" w:rsidRPr="00F4563F" w:rsidRDefault="007611AB" w:rsidP="00F94FFD">
            <w:pPr>
              <w:rPr>
                <w:sz w:val="20"/>
                <w:szCs w:val="20"/>
              </w:rPr>
            </w:pPr>
            <w:r w:rsidRPr="00F4563F">
              <w:rPr>
                <w:sz w:val="20"/>
                <w:szCs w:val="20"/>
              </w:rPr>
              <w:t>Ensure</w:t>
            </w:r>
            <w:r w:rsidR="00F94FFD">
              <w:rPr>
                <w:sz w:val="20"/>
                <w:szCs w:val="20"/>
              </w:rPr>
              <w:t xml:space="preserve"> modified promotion/</w:t>
            </w:r>
            <w:r w:rsidR="00C30108">
              <w:rPr>
                <w:sz w:val="20"/>
                <w:szCs w:val="20"/>
              </w:rPr>
              <w:t>grading</w:t>
            </w:r>
            <w:r w:rsidRPr="00F4563F">
              <w:rPr>
                <w:sz w:val="20"/>
                <w:szCs w:val="20"/>
              </w:rPr>
              <w:t xml:space="preserve"> </w:t>
            </w:r>
            <w:r w:rsidR="00F94FFD">
              <w:rPr>
                <w:sz w:val="20"/>
                <w:szCs w:val="20"/>
              </w:rPr>
              <w:t xml:space="preserve">criteria </w:t>
            </w:r>
            <w:r w:rsidR="00C30108">
              <w:rPr>
                <w:sz w:val="20"/>
                <w:szCs w:val="20"/>
              </w:rPr>
              <w:t>are</w:t>
            </w:r>
            <w:r w:rsidRPr="00F4563F">
              <w:rPr>
                <w:sz w:val="20"/>
                <w:szCs w:val="20"/>
              </w:rPr>
              <w:t xml:space="preserve"> clear for all students with disabilities and communicated to Academic Deans and teacher</w:t>
            </w:r>
            <w:r w:rsidR="001B0C03">
              <w:rPr>
                <w:sz w:val="20"/>
                <w:szCs w:val="20"/>
              </w:rPr>
              <w:t>s (modified only in RARE cases).</w:t>
            </w:r>
          </w:p>
        </w:tc>
        <w:tc>
          <w:tcPr>
            <w:tcW w:w="5935" w:type="dxa"/>
          </w:tcPr>
          <w:p w14:paraId="53AE0E34" w14:textId="108649D1" w:rsidR="007611AB" w:rsidRPr="00F4563F" w:rsidRDefault="00C30108" w:rsidP="00531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modified promotion/ </w:t>
            </w:r>
            <w:r w:rsidR="00531472">
              <w:rPr>
                <w:sz w:val="20"/>
                <w:szCs w:val="20"/>
              </w:rPr>
              <w:t>grading is ambitious,</w:t>
            </w:r>
            <w:r>
              <w:rPr>
                <w:sz w:val="20"/>
                <w:szCs w:val="20"/>
              </w:rPr>
              <w:t xml:space="preserve"> achievable</w:t>
            </w:r>
            <w:r w:rsidR="00531472">
              <w:rPr>
                <w:sz w:val="20"/>
                <w:szCs w:val="20"/>
              </w:rPr>
              <w:t xml:space="preserve">, and </w:t>
            </w:r>
            <w:r>
              <w:rPr>
                <w:sz w:val="20"/>
                <w:szCs w:val="20"/>
              </w:rPr>
              <w:t xml:space="preserve">used rarely. </w:t>
            </w:r>
          </w:p>
        </w:tc>
      </w:tr>
      <w:tr w:rsidR="007611AB" w14:paraId="01593C2E" w14:textId="77777777" w:rsidTr="002937EE">
        <w:tc>
          <w:tcPr>
            <w:tcW w:w="1615" w:type="dxa"/>
            <w:vMerge/>
            <w:shd w:val="clear" w:color="auto" w:fill="DEEAF6" w:themeFill="accent1" w:themeFillTint="33"/>
          </w:tcPr>
          <w:p w14:paraId="2A74ED49" w14:textId="77777777" w:rsidR="007611AB" w:rsidRDefault="007611AB" w:rsidP="00E175D0">
            <w:pPr>
              <w:rPr>
                <w:b/>
              </w:rPr>
            </w:pPr>
          </w:p>
        </w:tc>
        <w:tc>
          <w:tcPr>
            <w:tcW w:w="6840" w:type="dxa"/>
          </w:tcPr>
          <w:p w14:paraId="62BFCEC0" w14:textId="2CD92B3D" w:rsidR="007611AB" w:rsidRDefault="007611AB" w:rsidP="00F94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courageous conversations with families of scholars who are struggling academically, including scholars who are at risk of not being promoted to the next grade. </w:t>
            </w:r>
            <w:r w:rsidRPr="006E2C38">
              <w:rPr>
                <w:sz w:val="20"/>
                <w:szCs w:val="20"/>
              </w:rPr>
              <w:t>Proactively partner with families of struggling students</w:t>
            </w:r>
            <w:r w:rsidR="00F94FFD">
              <w:rPr>
                <w:sz w:val="20"/>
                <w:szCs w:val="20"/>
              </w:rPr>
              <w:t xml:space="preserve"> to learn about their children, </w:t>
            </w:r>
            <w:r w:rsidRPr="006E2C38">
              <w:rPr>
                <w:sz w:val="20"/>
                <w:szCs w:val="20"/>
              </w:rPr>
              <w:t>share updates</w:t>
            </w:r>
            <w:r w:rsidR="00F94FFD">
              <w:rPr>
                <w:sz w:val="20"/>
                <w:szCs w:val="20"/>
              </w:rPr>
              <w:t xml:space="preserve"> </w:t>
            </w:r>
            <w:r w:rsidRPr="006E2C38">
              <w:rPr>
                <w:sz w:val="20"/>
                <w:szCs w:val="20"/>
              </w:rPr>
              <w:t>and strategize on supports</w:t>
            </w:r>
            <w:r>
              <w:rPr>
                <w:sz w:val="20"/>
                <w:szCs w:val="20"/>
              </w:rPr>
              <w:t xml:space="preserve">. Manage communication to ensure teachers are prepared to </w:t>
            </w:r>
            <w:r w:rsidR="00F94FFD">
              <w:rPr>
                <w:sz w:val="20"/>
                <w:szCs w:val="20"/>
              </w:rPr>
              <w:t>clearly articulate</w:t>
            </w:r>
            <w:r w:rsidR="005314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student progress and next steps for growth with families.</w:t>
            </w:r>
            <w:r w:rsidR="00302F1D">
              <w:rPr>
                <w:sz w:val="20"/>
                <w:szCs w:val="20"/>
              </w:rPr>
              <w:t xml:space="preserve">  Document conversations with families. </w:t>
            </w:r>
          </w:p>
        </w:tc>
        <w:tc>
          <w:tcPr>
            <w:tcW w:w="5935" w:type="dxa"/>
          </w:tcPr>
          <w:p w14:paraId="736B95A8" w14:textId="0017ECC9" w:rsidR="007611AB" w:rsidRPr="00DB0931" w:rsidRDefault="007611AB" w:rsidP="006C6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Rehearse difficult conversations or sit in on conversations to provide feedback.</w:t>
            </w:r>
            <w:r w:rsidR="00C92CD1">
              <w:rPr>
                <w:sz w:val="20"/>
                <w:szCs w:val="20"/>
              </w:rPr>
              <w:t xml:space="preserve">  </w:t>
            </w:r>
          </w:p>
        </w:tc>
      </w:tr>
    </w:tbl>
    <w:p w14:paraId="09307241" w14:textId="77777777" w:rsidR="00A11CB5" w:rsidRDefault="00A11CB5" w:rsidP="00E175D0">
      <w:pPr>
        <w:jc w:val="center"/>
        <w:rPr>
          <w:b/>
        </w:rPr>
        <w:sectPr w:rsidR="00A11CB5" w:rsidSect="002937E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840"/>
        <w:gridCol w:w="5935"/>
      </w:tblGrid>
      <w:tr w:rsidR="00F94FFD" w14:paraId="0E355614" w14:textId="77777777" w:rsidTr="00637C11">
        <w:tc>
          <w:tcPr>
            <w:tcW w:w="14390" w:type="dxa"/>
            <w:gridSpan w:val="3"/>
            <w:shd w:val="clear" w:color="auto" w:fill="A8D08D" w:themeFill="accent6" w:themeFillTint="99"/>
          </w:tcPr>
          <w:p w14:paraId="576664C9" w14:textId="13CF5B46" w:rsidR="00F94FFD" w:rsidRPr="00F94FFD" w:rsidRDefault="00F94FFD" w:rsidP="00E175D0">
            <w:pPr>
              <w:jc w:val="center"/>
              <w:rPr>
                <w:b/>
              </w:rPr>
            </w:pPr>
            <w:r w:rsidRPr="00F94FFD">
              <w:rPr>
                <w:b/>
              </w:rPr>
              <w:lastRenderedPageBreak/>
              <w:t>Academic Intervention: Oversee the Program through Triggering Child Find</w:t>
            </w:r>
          </w:p>
        </w:tc>
      </w:tr>
      <w:tr w:rsidR="00F94FFD" w14:paraId="01F089A1" w14:textId="77777777" w:rsidTr="00472A7B">
        <w:tc>
          <w:tcPr>
            <w:tcW w:w="8455" w:type="dxa"/>
            <w:gridSpan w:val="2"/>
          </w:tcPr>
          <w:p w14:paraId="2F340127" w14:textId="1B836D68" w:rsidR="00F94FFD" w:rsidRDefault="00F94FFD" w:rsidP="00D85A6A">
            <w:pPr>
              <w:rPr>
                <w:b/>
              </w:rPr>
            </w:pPr>
            <w:r>
              <w:rPr>
                <w:i/>
              </w:rPr>
              <w:t xml:space="preserve">All scholars who meet network triggers are in an intervention, and the interventions are leading to growth. </w:t>
            </w:r>
          </w:p>
        </w:tc>
        <w:tc>
          <w:tcPr>
            <w:tcW w:w="5935" w:type="dxa"/>
          </w:tcPr>
          <w:p w14:paraId="791CFE5F" w14:textId="77777777" w:rsidR="00F94FFD" w:rsidRPr="00F94FFD" w:rsidRDefault="00F94FFD" w:rsidP="00E175D0">
            <w:pPr>
              <w:rPr>
                <w:highlight w:val="yellow"/>
              </w:rPr>
            </w:pPr>
            <w:r w:rsidRPr="00F94FFD">
              <w:rPr>
                <w:highlight w:val="yellow"/>
              </w:rPr>
              <w:t>School Owner (Reading):</w:t>
            </w:r>
          </w:p>
          <w:p w14:paraId="68576E1B" w14:textId="77777777" w:rsidR="00F94FFD" w:rsidRPr="00F94FFD" w:rsidRDefault="00F94FFD" w:rsidP="00E175D0">
            <w:pPr>
              <w:rPr>
                <w:highlight w:val="yellow"/>
              </w:rPr>
            </w:pPr>
            <w:r w:rsidRPr="00F94FFD">
              <w:rPr>
                <w:highlight w:val="yellow"/>
              </w:rPr>
              <w:t xml:space="preserve">School Owner (Math): </w:t>
            </w:r>
          </w:p>
          <w:p w14:paraId="7D27FBB7" w14:textId="77777777" w:rsidR="00F94FFD" w:rsidRDefault="00F94FFD" w:rsidP="00E175D0">
            <w:pPr>
              <w:rPr>
                <w:b/>
              </w:rPr>
            </w:pPr>
            <w:r w:rsidRPr="00F94FFD">
              <w:rPr>
                <w:highlight w:val="yellow"/>
              </w:rPr>
              <w:t>Performers:</w:t>
            </w:r>
          </w:p>
        </w:tc>
      </w:tr>
      <w:tr w:rsidR="00F94FFD" w14:paraId="0666CE56" w14:textId="77777777" w:rsidTr="00472A7B">
        <w:tc>
          <w:tcPr>
            <w:tcW w:w="1615" w:type="dxa"/>
            <w:shd w:val="clear" w:color="auto" w:fill="C5E0B3" w:themeFill="accent6" w:themeFillTint="66"/>
          </w:tcPr>
          <w:p w14:paraId="03DC9991" w14:textId="77777777" w:rsidR="00F94FFD" w:rsidRDefault="00F94FFD" w:rsidP="00E175D0">
            <w:pPr>
              <w:jc w:val="center"/>
              <w:rPr>
                <w:b/>
              </w:rPr>
            </w:pPr>
            <w:r>
              <w:rPr>
                <w:b/>
              </w:rPr>
              <w:t>Bucket</w:t>
            </w:r>
          </w:p>
        </w:tc>
        <w:tc>
          <w:tcPr>
            <w:tcW w:w="6840" w:type="dxa"/>
            <w:shd w:val="clear" w:color="auto" w:fill="C5E0B3" w:themeFill="accent6" w:themeFillTint="66"/>
          </w:tcPr>
          <w:p w14:paraId="40FC0C5F" w14:textId="77777777" w:rsidR="00F94FFD" w:rsidRDefault="00F94FFD" w:rsidP="00E175D0">
            <w:pPr>
              <w:jc w:val="center"/>
              <w:rPr>
                <w:b/>
              </w:rPr>
            </w:pPr>
            <w:r>
              <w:rPr>
                <w:b/>
              </w:rPr>
              <w:t>DSS’s Core Actions</w:t>
            </w:r>
          </w:p>
        </w:tc>
        <w:tc>
          <w:tcPr>
            <w:tcW w:w="5935" w:type="dxa"/>
            <w:shd w:val="clear" w:color="auto" w:fill="C5E0B3" w:themeFill="accent6" w:themeFillTint="66"/>
          </w:tcPr>
          <w:p w14:paraId="207367EE" w14:textId="5B2A4C5F" w:rsidR="00F94FFD" w:rsidRDefault="00F94FFD" w:rsidP="00E175D0">
            <w:pPr>
              <w:jc w:val="center"/>
              <w:rPr>
                <w:b/>
              </w:rPr>
            </w:pPr>
            <w:r>
              <w:rPr>
                <w:b/>
              </w:rPr>
              <w:t>Principal Actions to Support and Manage DSS</w:t>
            </w:r>
          </w:p>
        </w:tc>
      </w:tr>
      <w:tr w:rsidR="00F94FFD" w14:paraId="1EA53176" w14:textId="77777777" w:rsidTr="00DF3333">
        <w:tc>
          <w:tcPr>
            <w:tcW w:w="1615" w:type="dxa"/>
            <w:vMerge w:val="restart"/>
            <w:shd w:val="clear" w:color="auto" w:fill="E2EFD9" w:themeFill="accent6" w:themeFillTint="33"/>
          </w:tcPr>
          <w:p w14:paraId="1C22EA0B" w14:textId="4B6BE8C2" w:rsidR="00F94FFD" w:rsidRDefault="00F94FFD" w:rsidP="00D514D0">
            <w:pPr>
              <w:rPr>
                <w:b/>
              </w:rPr>
            </w:pPr>
            <w:r>
              <w:rPr>
                <w:b/>
              </w:rPr>
              <w:t>Academic Interventions (15%)</w:t>
            </w:r>
          </w:p>
        </w:tc>
        <w:tc>
          <w:tcPr>
            <w:tcW w:w="6840" w:type="dxa"/>
            <w:shd w:val="clear" w:color="auto" w:fill="auto"/>
          </w:tcPr>
          <w:p w14:paraId="0279788C" w14:textId="771E0D13" w:rsidR="00F94FFD" w:rsidDel="005970FE" w:rsidRDefault="00F94FFD" w:rsidP="00FA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Coordinate and oversee the Universal Screener during network screening windows. Oversee additional assessments for students falling below triggers (i.e. </w:t>
            </w:r>
            <w:r w:rsidR="00FA7E89">
              <w:rPr>
                <w:sz w:val="20"/>
                <w:szCs w:val="20"/>
              </w:rPr>
              <w:t>STEP testing</w:t>
            </w:r>
            <w:r>
              <w:rPr>
                <w:sz w:val="20"/>
                <w:szCs w:val="20"/>
              </w:rPr>
              <w:t>). Ensure all students below network intervention triggers are in interventions</w:t>
            </w:r>
            <w:r w:rsidR="00FA7E89">
              <w:rPr>
                <w:sz w:val="20"/>
                <w:szCs w:val="20"/>
              </w:rPr>
              <w:t xml:space="preserve"> that match</w:t>
            </w:r>
            <w:r>
              <w:rPr>
                <w:sz w:val="20"/>
                <w:szCs w:val="20"/>
              </w:rPr>
              <w:t xml:space="preserve"> their areas of support.</w:t>
            </w:r>
          </w:p>
        </w:tc>
        <w:tc>
          <w:tcPr>
            <w:tcW w:w="5935" w:type="dxa"/>
            <w:shd w:val="clear" w:color="auto" w:fill="auto"/>
          </w:tcPr>
          <w:p w14:paraId="09125074" w14:textId="600196D5" w:rsidR="00F94FFD" w:rsidRDefault="00F94FFD" w:rsidP="00D85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BOY, MOY, and EOY testing, creatively problem-solve with the DSS when collective student needs exceed the available time and staffing.</w:t>
            </w:r>
          </w:p>
        </w:tc>
      </w:tr>
      <w:tr w:rsidR="00F94FFD" w14:paraId="28537D34" w14:textId="77777777" w:rsidTr="00472A7B">
        <w:tc>
          <w:tcPr>
            <w:tcW w:w="1615" w:type="dxa"/>
            <w:vMerge/>
            <w:shd w:val="clear" w:color="auto" w:fill="E2EFD9" w:themeFill="accent6" w:themeFillTint="33"/>
          </w:tcPr>
          <w:p w14:paraId="3106678D" w14:textId="336BD8E0" w:rsidR="00F94FFD" w:rsidRDefault="00F94FFD" w:rsidP="00D514D0">
            <w:pPr>
              <w:rPr>
                <w:b/>
              </w:rPr>
            </w:pPr>
          </w:p>
        </w:tc>
        <w:tc>
          <w:tcPr>
            <w:tcW w:w="6840" w:type="dxa"/>
          </w:tcPr>
          <w:p w14:paraId="5DBF4970" w14:textId="56E8812B" w:rsidR="00F94FFD" w:rsidRPr="00C20BD5" w:rsidRDefault="00F94FFD" w:rsidP="00531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 and monitor academic triggers, based on network guidance, to identify and place students in tiered academic interventions</w:t>
            </w:r>
            <w:r w:rsidR="00FA7E89">
              <w:rPr>
                <w:sz w:val="20"/>
                <w:szCs w:val="20"/>
              </w:rPr>
              <w:t>.</w:t>
            </w:r>
          </w:p>
        </w:tc>
        <w:tc>
          <w:tcPr>
            <w:tcW w:w="5935" w:type="dxa"/>
          </w:tcPr>
          <w:p w14:paraId="0E7136E4" w14:textId="0F30DFF5" w:rsidR="00F94FFD" w:rsidRPr="001D4292" w:rsidRDefault="00F94FFD" w:rsidP="00D85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BOY, MOY, and EOY testing, confirm that 100% students hitting academic triggers are in an appropriate academic intervention. </w:t>
            </w:r>
          </w:p>
        </w:tc>
      </w:tr>
      <w:tr w:rsidR="00F94FFD" w14:paraId="73CA44CD" w14:textId="77777777" w:rsidTr="00472A7B">
        <w:tc>
          <w:tcPr>
            <w:tcW w:w="1615" w:type="dxa"/>
            <w:vMerge/>
            <w:shd w:val="clear" w:color="auto" w:fill="E2EFD9" w:themeFill="accent6" w:themeFillTint="33"/>
          </w:tcPr>
          <w:p w14:paraId="25F70C75" w14:textId="77777777" w:rsidR="00F94FFD" w:rsidRDefault="00F94FFD" w:rsidP="00E175D0">
            <w:pPr>
              <w:rPr>
                <w:b/>
              </w:rPr>
            </w:pPr>
          </w:p>
        </w:tc>
        <w:tc>
          <w:tcPr>
            <w:tcW w:w="6840" w:type="dxa"/>
          </w:tcPr>
          <w:p w14:paraId="11A5B2CF" w14:textId="754B97A7" w:rsidR="00F94FFD" w:rsidRPr="0027746F" w:rsidRDefault="00F94FFD" w:rsidP="00035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students in interventions are growing by managing system</w:t>
            </w:r>
            <w:r w:rsidR="00FA7E89">
              <w:rPr>
                <w:sz w:val="20"/>
                <w:szCs w:val="20"/>
              </w:rPr>
              <w:t>s to collect intervention data.</w:t>
            </w:r>
            <w:r>
              <w:rPr>
                <w:sz w:val="20"/>
                <w:szCs w:val="20"/>
              </w:rPr>
              <w:t xml:space="preserve"> Hold data review meetings every 6 weeks to evaluate the progress of students currently in interventions. (See Academic Intervention Data Review Meeting.)</w:t>
            </w:r>
          </w:p>
        </w:tc>
        <w:tc>
          <w:tcPr>
            <w:tcW w:w="5935" w:type="dxa"/>
          </w:tcPr>
          <w:p w14:paraId="1CC95B8F" w14:textId="53236D2E" w:rsidR="00F94FFD" w:rsidRPr="001D4292" w:rsidRDefault="00F94FFD" w:rsidP="00D33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findings of data meetings and next steps for students making insufficient progress.  </w:t>
            </w:r>
          </w:p>
        </w:tc>
      </w:tr>
      <w:tr w:rsidR="00F94FFD" w14:paraId="6E95C395" w14:textId="77777777" w:rsidTr="009D1CAA">
        <w:tc>
          <w:tcPr>
            <w:tcW w:w="1615" w:type="dxa"/>
            <w:vMerge/>
            <w:shd w:val="clear" w:color="auto" w:fill="E2EFD9" w:themeFill="accent6" w:themeFillTint="33"/>
          </w:tcPr>
          <w:p w14:paraId="166F26D0" w14:textId="77777777" w:rsidR="00F94FFD" w:rsidRDefault="00F94FFD" w:rsidP="00E175D0">
            <w:pPr>
              <w:rPr>
                <w:b/>
              </w:rPr>
            </w:pPr>
          </w:p>
        </w:tc>
        <w:tc>
          <w:tcPr>
            <w:tcW w:w="6840" w:type="dxa"/>
            <w:shd w:val="clear" w:color="auto" w:fill="FFFFFF" w:themeFill="background1"/>
          </w:tcPr>
          <w:p w14:paraId="4130ABC4" w14:textId="3512DAF7" w:rsidR="00F94FFD" w:rsidRDefault="00F94FFD" w:rsidP="00E175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Clearly communicate planning and data collection expectations for intervention teachers and train/develop teachers (using network resources).</w:t>
            </w:r>
          </w:p>
        </w:tc>
        <w:tc>
          <w:tcPr>
            <w:tcW w:w="5935" w:type="dxa"/>
            <w:shd w:val="clear" w:color="auto" w:fill="FFFFFF" w:themeFill="background1"/>
          </w:tcPr>
          <w:p w14:paraId="033A4C82" w14:textId="339C3652" w:rsidR="00F94FFD" w:rsidRDefault="00F94FFD" w:rsidP="006C6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Rehearse conversations and trainings for intervention teachers to ensure clarity and accuracy.</w:t>
            </w:r>
          </w:p>
        </w:tc>
      </w:tr>
      <w:tr w:rsidR="00F94FFD" w14:paraId="65735AFB" w14:textId="77777777" w:rsidTr="006C64BD">
        <w:trPr>
          <w:trHeight w:val="1079"/>
        </w:trPr>
        <w:tc>
          <w:tcPr>
            <w:tcW w:w="1615" w:type="dxa"/>
            <w:vMerge/>
            <w:shd w:val="clear" w:color="auto" w:fill="E2EFD9" w:themeFill="accent6" w:themeFillTint="33"/>
          </w:tcPr>
          <w:p w14:paraId="31BE7418" w14:textId="77777777" w:rsidR="00F94FFD" w:rsidRDefault="00F94FFD" w:rsidP="00E175D0">
            <w:pPr>
              <w:rPr>
                <w:b/>
              </w:rPr>
            </w:pPr>
          </w:p>
        </w:tc>
        <w:tc>
          <w:tcPr>
            <w:tcW w:w="6840" w:type="dxa"/>
          </w:tcPr>
          <w:p w14:paraId="72788DDD" w14:textId="19A426A5" w:rsidR="00F94FFD" w:rsidRPr="00AB199A" w:rsidRDefault="00FA7E89" w:rsidP="00E175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 and coach intervention</w:t>
            </w:r>
            <w:r w:rsidR="00F94FFD">
              <w:rPr>
                <w:sz w:val="20"/>
                <w:szCs w:val="20"/>
              </w:rPr>
              <w:t xml:space="preserve"> groups at least bi-weekly and provide feedback using the Fundamentals of Instruction for interventions (e.g. walkthroughs and sending batch feedback, RTC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F94FFD">
              <w:rPr>
                <w:sz w:val="20"/>
                <w:szCs w:val="20"/>
              </w:rPr>
              <w:t>ing</w:t>
            </w:r>
            <w:proofErr w:type="spellEnd"/>
            <w:r w:rsidR="00F94FFD">
              <w:rPr>
                <w:sz w:val="20"/>
                <w:szCs w:val="20"/>
              </w:rPr>
              <w:t xml:space="preserve">, etc.).  Review lesson plans regularly to provide feedback on planning. </w:t>
            </w:r>
          </w:p>
        </w:tc>
        <w:tc>
          <w:tcPr>
            <w:tcW w:w="5935" w:type="dxa"/>
          </w:tcPr>
          <w:p w14:paraId="28AF37A4" w14:textId="77777777" w:rsidR="00F94FFD" w:rsidRPr="001D4292" w:rsidRDefault="00F94FFD" w:rsidP="00EB54DB">
            <w:pPr>
              <w:rPr>
                <w:sz w:val="20"/>
                <w:szCs w:val="20"/>
              </w:rPr>
            </w:pPr>
            <w:r w:rsidRPr="00D33A80">
              <w:rPr>
                <w:sz w:val="20"/>
                <w:szCs w:val="20"/>
              </w:rPr>
              <w:t>Review weekly observation walk-through notes and ensure teacher actions steps are specific, high-impact, and transferrable.  If necessary, co-observe.</w:t>
            </w:r>
          </w:p>
          <w:p w14:paraId="15E74CA0" w14:textId="28EF3ACC" w:rsidR="00F94FFD" w:rsidRPr="001D4292" w:rsidRDefault="00F94FFD" w:rsidP="006C64BD">
            <w:pPr>
              <w:rPr>
                <w:sz w:val="20"/>
                <w:szCs w:val="20"/>
              </w:rPr>
            </w:pPr>
          </w:p>
        </w:tc>
      </w:tr>
      <w:tr w:rsidR="00F94FFD" w14:paraId="1E90986E" w14:textId="77777777" w:rsidTr="006C025F">
        <w:trPr>
          <w:trHeight w:val="854"/>
        </w:trPr>
        <w:tc>
          <w:tcPr>
            <w:tcW w:w="1615" w:type="dxa"/>
            <w:vMerge/>
            <w:shd w:val="clear" w:color="auto" w:fill="E2EFD9" w:themeFill="accent6" w:themeFillTint="33"/>
          </w:tcPr>
          <w:p w14:paraId="4A65C6A6" w14:textId="77777777" w:rsidR="00F94FFD" w:rsidRDefault="00F94FFD" w:rsidP="00E175D0">
            <w:pPr>
              <w:rPr>
                <w:b/>
              </w:rPr>
            </w:pPr>
          </w:p>
        </w:tc>
        <w:tc>
          <w:tcPr>
            <w:tcW w:w="6840" w:type="dxa"/>
          </w:tcPr>
          <w:p w14:paraId="3D82AF56" w14:textId="174BE248" w:rsidR="00F94FFD" w:rsidRDefault="00F94FFD" w:rsidP="00E175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students making insufficient growth despite receiving slowly intensifying interventions and facilitate a team meeting to determine whether the student should be referred for a special education evaluation.</w:t>
            </w:r>
          </w:p>
        </w:tc>
        <w:tc>
          <w:tcPr>
            <w:tcW w:w="5935" w:type="dxa"/>
          </w:tcPr>
          <w:p w14:paraId="598D58B2" w14:textId="112060B2" w:rsidR="00F94FFD" w:rsidRPr="00D33A80" w:rsidRDefault="00F94FFD" w:rsidP="00EB5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robust and intensifying interventions have been implemented prior to referring for a special education evaluation.</w:t>
            </w:r>
          </w:p>
        </w:tc>
      </w:tr>
    </w:tbl>
    <w:p w14:paraId="5050719B" w14:textId="77777777" w:rsidR="00A11CB5" w:rsidRDefault="00A11CB5" w:rsidP="00E175D0">
      <w:pPr>
        <w:jc w:val="center"/>
        <w:rPr>
          <w:b/>
        </w:rPr>
        <w:sectPr w:rsidR="00A11CB5" w:rsidSect="002937E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840"/>
        <w:gridCol w:w="5935"/>
      </w:tblGrid>
      <w:tr w:rsidR="00FA7E89" w14:paraId="3FB27C1E" w14:textId="77777777" w:rsidTr="00472A7B">
        <w:tc>
          <w:tcPr>
            <w:tcW w:w="14390" w:type="dxa"/>
            <w:gridSpan w:val="3"/>
            <w:shd w:val="clear" w:color="auto" w:fill="F4B083" w:themeFill="accent2" w:themeFillTint="99"/>
          </w:tcPr>
          <w:p w14:paraId="307CD2DF" w14:textId="26B1F684" w:rsidR="00FA7E89" w:rsidRPr="00FA7E89" w:rsidRDefault="00FA7E89" w:rsidP="00E175D0">
            <w:pPr>
              <w:jc w:val="center"/>
              <w:rPr>
                <w:b/>
              </w:rPr>
            </w:pPr>
            <w:r w:rsidRPr="00FA7E89">
              <w:rPr>
                <w:b/>
              </w:rPr>
              <w:lastRenderedPageBreak/>
              <w:t>Behavior Intervention: Oversee the Program through Triggering Child Find</w:t>
            </w:r>
          </w:p>
        </w:tc>
      </w:tr>
      <w:tr w:rsidR="00FA7E89" w14:paraId="37C2526D" w14:textId="77777777" w:rsidTr="00472A7B">
        <w:tc>
          <w:tcPr>
            <w:tcW w:w="8455" w:type="dxa"/>
            <w:gridSpan w:val="2"/>
            <w:shd w:val="clear" w:color="auto" w:fill="auto"/>
          </w:tcPr>
          <w:p w14:paraId="3D507333" w14:textId="194FE26F" w:rsidR="00FA7E89" w:rsidRDefault="00FA7E89" w:rsidP="009D3F22">
            <w:pPr>
              <w:rPr>
                <w:b/>
              </w:rPr>
            </w:pPr>
            <w:r>
              <w:rPr>
                <w:i/>
              </w:rPr>
              <w:t>Scholars who struggle with behavior get increasingly intensive interventions which build skill and target the function of their behavior.</w:t>
            </w:r>
          </w:p>
        </w:tc>
        <w:tc>
          <w:tcPr>
            <w:tcW w:w="5935" w:type="dxa"/>
            <w:shd w:val="clear" w:color="auto" w:fill="auto"/>
          </w:tcPr>
          <w:p w14:paraId="52603F5F" w14:textId="77777777" w:rsidR="00FA7E89" w:rsidRPr="00FA7E89" w:rsidRDefault="00FA7E89" w:rsidP="00E175D0">
            <w:pPr>
              <w:rPr>
                <w:highlight w:val="yellow"/>
              </w:rPr>
            </w:pPr>
            <w:r w:rsidRPr="00FA7E89">
              <w:rPr>
                <w:highlight w:val="yellow"/>
              </w:rPr>
              <w:t xml:space="preserve">School Owner: </w:t>
            </w:r>
          </w:p>
          <w:p w14:paraId="516C032A" w14:textId="77777777" w:rsidR="00FA7E89" w:rsidRDefault="00FA7E89" w:rsidP="00E175D0">
            <w:pPr>
              <w:rPr>
                <w:b/>
              </w:rPr>
            </w:pPr>
            <w:r w:rsidRPr="00FA7E89">
              <w:rPr>
                <w:highlight w:val="yellow"/>
              </w:rPr>
              <w:t>Performers:</w:t>
            </w:r>
          </w:p>
        </w:tc>
      </w:tr>
      <w:tr w:rsidR="00FA7E89" w14:paraId="6AF02211" w14:textId="77777777" w:rsidTr="00472A7B">
        <w:tc>
          <w:tcPr>
            <w:tcW w:w="1615" w:type="dxa"/>
            <w:shd w:val="clear" w:color="auto" w:fill="F7CAAC" w:themeFill="accent2" w:themeFillTint="66"/>
          </w:tcPr>
          <w:p w14:paraId="34E0F637" w14:textId="77777777" w:rsidR="00FA7E89" w:rsidRDefault="00FA7E89" w:rsidP="00E175D0">
            <w:pPr>
              <w:jc w:val="center"/>
              <w:rPr>
                <w:b/>
              </w:rPr>
            </w:pPr>
            <w:r>
              <w:rPr>
                <w:b/>
              </w:rPr>
              <w:t>Bucket</w:t>
            </w:r>
          </w:p>
        </w:tc>
        <w:tc>
          <w:tcPr>
            <w:tcW w:w="6840" w:type="dxa"/>
            <w:shd w:val="clear" w:color="auto" w:fill="F7CAAC" w:themeFill="accent2" w:themeFillTint="66"/>
          </w:tcPr>
          <w:p w14:paraId="355274EC" w14:textId="77777777" w:rsidR="00FA7E89" w:rsidRDefault="00FA7E89" w:rsidP="00E175D0">
            <w:pPr>
              <w:jc w:val="center"/>
              <w:rPr>
                <w:b/>
              </w:rPr>
            </w:pPr>
            <w:r>
              <w:rPr>
                <w:b/>
              </w:rPr>
              <w:t>DSS’s Core Actions</w:t>
            </w:r>
          </w:p>
        </w:tc>
        <w:tc>
          <w:tcPr>
            <w:tcW w:w="5935" w:type="dxa"/>
            <w:shd w:val="clear" w:color="auto" w:fill="F7CAAC" w:themeFill="accent2" w:themeFillTint="66"/>
          </w:tcPr>
          <w:p w14:paraId="375C4C83" w14:textId="7D9237D4" w:rsidR="00FA7E89" w:rsidRDefault="00FA7E89" w:rsidP="00E175D0">
            <w:pPr>
              <w:jc w:val="center"/>
              <w:rPr>
                <w:b/>
              </w:rPr>
            </w:pPr>
            <w:r>
              <w:rPr>
                <w:b/>
              </w:rPr>
              <w:t>Principal Actions to Support and Manage DSS</w:t>
            </w:r>
          </w:p>
        </w:tc>
      </w:tr>
      <w:tr w:rsidR="00FA7E89" w14:paraId="29BC27E7" w14:textId="77777777" w:rsidTr="00472A7B">
        <w:tc>
          <w:tcPr>
            <w:tcW w:w="1615" w:type="dxa"/>
            <w:vMerge w:val="restart"/>
            <w:shd w:val="clear" w:color="auto" w:fill="FBE4D5" w:themeFill="accent2" w:themeFillTint="33"/>
          </w:tcPr>
          <w:p w14:paraId="1957D645" w14:textId="77777777" w:rsidR="00FA7E89" w:rsidRDefault="00FA7E89" w:rsidP="00D514D0">
            <w:pPr>
              <w:rPr>
                <w:b/>
              </w:rPr>
            </w:pPr>
            <w:r>
              <w:rPr>
                <w:b/>
              </w:rPr>
              <w:t>Behavior Interventions (15%)</w:t>
            </w:r>
          </w:p>
        </w:tc>
        <w:tc>
          <w:tcPr>
            <w:tcW w:w="6840" w:type="dxa"/>
          </w:tcPr>
          <w:p w14:paraId="59C3E4B7" w14:textId="48656D3D" w:rsidR="00FA7E89" w:rsidRPr="00445308" w:rsidRDefault="00FA7E89" w:rsidP="006C025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 and monitor school wide behavior and discipline triggers, based on network guidance, to identify which students require tiered behavior interventions. Document these decisions.</w:t>
            </w:r>
          </w:p>
        </w:tc>
        <w:tc>
          <w:tcPr>
            <w:tcW w:w="5935" w:type="dxa"/>
          </w:tcPr>
          <w:p w14:paraId="4B2A1D8B" w14:textId="08B0879E" w:rsidR="00FA7E89" w:rsidRPr="006E2C38" w:rsidRDefault="00FA7E89" w:rsidP="00D33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 that 100% students hitting behavior triggers are in an appropriate behavior intervention.</w:t>
            </w:r>
          </w:p>
        </w:tc>
      </w:tr>
      <w:tr w:rsidR="00FA7E89" w14:paraId="3D93C7E5" w14:textId="77777777" w:rsidTr="00472A7B">
        <w:tc>
          <w:tcPr>
            <w:tcW w:w="1615" w:type="dxa"/>
            <w:vMerge/>
            <w:shd w:val="clear" w:color="auto" w:fill="FBE4D5" w:themeFill="accent2" w:themeFillTint="33"/>
          </w:tcPr>
          <w:p w14:paraId="32538A8E" w14:textId="77777777" w:rsidR="00FA7E89" w:rsidRDefault="00FA7E89" w:rsidP="00E175D0">
            <w:pPr>
              <w:rPr>
                <w:b/>
              </w:rPr>
            </w:pPr>
          </w:p>
        </w:tc>
        <w:tc>
          <w:tcPr>
            <w:tcW w:w="6840" w:type="dxa"/>
          </w:tcPr>
          <w:p w14:paraId="49F747EC" w14:textId="62724027" w:rsidR="00FA7E89" w:rsidRPr="00AB199A" w:rsidRDefault="00FA7E89" w:rsidP="00FA7E8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 for and facilitate monthly data meetings to monitor the effectiveness of behavior interventions. </w:t>
            </w:r>
            <w:r w:rsidRPr="00445308">
              <w:rPr>
                <w:sz w:val="20"/>
                <w:szCs w:val="20"/>
              </w:rPr>
              <w:t xml:space="preserve">Collect, analyze, and communicate data trends </w:t>
            </w:r>
            <w:r w:rsidRPr="00AB199A">
              <w:rPr>
                <w:sz w:val="20"/>
                <w:szCs w:val="20"/>
              </w:rPr>
              <w:t>(special education, struggling scholars, etc</w:t>
            </w:r>
            <w:r>
              <w:rPr>
                <w:sz w:val="20"/>
                <w:szCs w:val="20"/>
              </w:rPr>
              <w:t>.</w:t>
            </w:r>
            <w:r w:rsidRPr="00AB199A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and proactively problem-</w:t>
            </w:r>
            <w:r w:rsidRPr="00445308">
              <w:rPr>
                <w:sz w:val="20"/>
                <w:szCs w:val="20"/>
              </w:rPr>
              <w:t>solve wa</w:t>
            </w:r>
            <w:r>
              <w:rPr>
                <w:sz w:val="20"/>
                <w:szCs w:val="20"/>
              </w:rPr>
              <w:t>ys to better serve all scholars.</w:t>
            </w:r>
          </w:p>
        </w:tc>
        <w:tc>
          <w:tcPr>
            <w:tcW w:w="5935" w:type="dxa"/>
          </w:tcPr>
          <w:p w14:paraId="2E8EF683" w14:textId="4173034A" w:rsidR="00FA7E89" w:rsidRPr="006E2C38" w:rsidRDefault="00FA7E89" w:rsidP="00D33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findings of data meetings and next steps for students making insufficient progress.  </w:t>
            </w:r>
          </w:p>
        </w:tc>
      </w:tr>
      <w:tr w:rsidR="00FA7E89" w14:paraId="083F3729" w14:textId="77777777" w:rsidTr="00472A7B">
        <w:tc>
          <w:tcPr>
            <w:tcW w:w="1615" w:type="dxa"/>
            <w:vMerge/>
            <w:shd w:val="clear" w:color="auto" w:fill="FBE4D5" w:themeFill="accent2" w:themeFillTint="33"/>
          </w:tcPr>
          <w:p w14:paraId="696880E5" w14:textId="77777777" w:rsidR="00FA7E89" w:rsidRDefault="00FA7E89" w:rsidP="00E175D0">
            <w:pPr>
              <w:rPr>
                <w:b/>
              </w:rPr>
            </w:pPr>
          </w:p>
        </w:tc>
        <w:tc>
          <w:tcPr>
            <w:tcW w:w="6840" w:type="dxa"/>
          </w:tcPr>
          <w:p w14:paraId="6925AFD3" w14:textId="0BD45F3E" w:rsidR="00FA7E89" w:rsidRPr="00AB199A" w:rsidRDefault="00FA7E89" w:rsidP="006C025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Facilitate</w:t>
            </w:r>
            <w:r w:rsidRPr="00AB19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Tier 3 Child Study Team and ensure</w:t>
            </w:r>
            <w:r w:rsidRPr="00AB19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Tier 2 </w:t>
            </w:r>
            <w:r w:rsidRPr="00AB199A">
              <w:rPr>
                <w:sz w:val="20"/>
                <w:szCs w:val="20"/>
              </w:rPr>
              <w:t xml:space="preserve">Grade Level </w:t>
            </w:r>
            <w:r>
              <w:rPr>
                <w:sz w:val="20"/>
                <w:szCs w:val="20"/>
              </w:rPr>
              <w:t xml:space="preserve">Child Study Teams </w:t>
            </w:r>
            <w:r w:rsidRPr="00AB199A">
              <w:rPr>
                <w:sz w:val="20"/>
                <w:szCs w:val="20"/>
              </w:rPr>
              <w:t>meetings</w:t>
            </w:r>
            <w:r>
              <w:rPr>
                <w:sz w:val="20"/>
                <w:szCs w:val="20"/>
              </w:rPr>
              <w:t xml:space="preserve"> are occurring at least bi-weekly.</w:t>
            </w:r>
          </w:p>
        </w:tc>
        <w:tc>
          <w:tcPr>
            <w:tcW w:w="5935" w:type="dxa"/>
          </w:tcPr>
          <w:p w14:paraId="65D71B4D" w14:textId="5B838F0B" w:rsidR="00FA7E89" w:rsidRPr="006E2C38" w:rsidRDefault="00FA7E89" w:rsidP="00D33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feedback to the DSS on the clarity and transferability of feedback sent to GLCST on Tier 2 plans.</w:t>
            </w:r>
          </w:p>
        </w:tc>
      </w:tr>
      <w:tr w:rsidR="00FA7E89" w14:paraId="0BD225DC" w14:textId="77777777" w:rsidTr="00472A7B">
        <w:tc>
          <w:tcPr>
            <w:tcW w:w="1615" w:type="dxa"/>
            <w:vMerge/>
            <w:shd w:val="clear" w:color="auto" w:fill="FBE4D5" w:themeFill="accent2" w:themeFillTint="33"/>
          </w:tcPr>
          <w:p w14:paraId="7C33DFBB" w14:textId="77777777" w:rsidR="00FA7E89" w:rsidRDefault="00FA7E89" w:rsidP="00E175D0">
            <w:pPr>
              <w:rPr>
                <w:b/>
              </w:rPr>
            </w:pPr>
          </w:p>
        </w:tc>
        <w:tc>
          <w:tcPr>
            <w:tcW w:w="6840" w:type="dxa"/>
          </w:tcPr>
          <w:p w14:paraId="6D1AFFD8" w14:textId="46AFB94C" w:rsidR="00FA7E89" w:rsidRDefault="00FA7E89" w:rsidP="005970F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Tier 2 behavior interventions are created, rolled out, implemented with fidelity and monitored at the grade level.</w:t>
            </w:r>
          </w:p>
        </w:tc>
        <w:tc>
          <w:tcPr>
            <w:tcW w:w="5935" w:type="dxa"/>
          </w:tcPr>
          <w:p w14:paraId="25C68EA7" w14:textId="4CC9EB7F" w:rsidR="00FA7E89" w:rsidRPr="001D4292" w:rsidRDefault="00FA7E89" w:rsidP="00D33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BSP findings from BSP fidelity checklists and ensure </w:t>
            </w:r>
            <w:r w:rsidRPr="00D33A80">
              <w:rPr>
                <w:sz w:val="20"/>
                <w:szCs w:val="20"/>
              </w:rPr>
              <w:t xml:space="preserve">teacher actions </w:t>
            </w:r>
            <w:r>
              <w:rPr>
                <w:sz w:val="20"/>
                <w:szCs w:val="20"/>
              </w:rPr>
              <w:t>steps are specific, high-impact</w:t>
            </w:r>
            <w:r w:rsidRPr="00D33A80">
              <w:rPr>
                <w:sz w:val="20"/>
                <w:szCs w:val="20"/>
              </w:rPr>
              <w:t xml:space="preserve"> and transferrable.  If necessary, co-observe</w:t>
            </w:r>
            <w:r>
              <w:rPr>
                <w:sz w:val="20"/>
                <w:szCs w:val="20"/>
              </w:rPr>
              <w:t xml:space="preserve"> or rehearse conversation with teachers</w:t>
            </w:r>
            <w:r w:rsidRPr="00D33A80">
              <w:rPr>
                <w:sz w:val="20"/>
                <w:szCs w:val="20"/>
              </w:rPr>
              <w:t>.</w:t>
            </w:r>
          </w:p>
          <w:p w14:paraId="3FD5E580" w14:textId="03852419" w:rsidR="00FA7E89" w:rsidRPr="006E2C38" w:rsidRDefault="00FA7E89" w:rsidP="00E175D0">
            <w:pPr>
              <w:rPr>
                <w:sz w:val="20"/>
                <w:szCs w:val="20"/>
              </w:rPr>
            </w:pPr>
          </w:p>
        </w:tc>
      </w:tr>
      <w:tr w:rsidR="00FA7E89" w14:paraId="1F0C63CA" w14:textId="77777777" w:rsidTr="00472A7B">
        <w:tc>
          <w:tcPr>
            <w:tcW w:w="1615" w:type="dxa"/>
            <w:vMerge/>
            <w:shd w:val="clear" w:color="auto" w:fill="FBE4D5" w:themeFill="accent2" w:themeFillTint="33"/>
          </w:tcPr>
          <w:p w14:paraId="180331E8" w14:textId="77777777" w:rsidR="00FA7E89" w:rsidRDefault="00FA7E89" w:rsidP="00F4563F">
            <w:pPr>
              <w:rPr>
                <w:b/>
              </w:rPr>
            </w:pPr>
          </w:p>
        </w:tc>
        <w:tc>
          <w:tcPr>
            <w:tcW w:w="6840" w:type="dxa"/>
          </w:tcPr>
          <w:p w14:paraId="4D9E419C" w14:textId="6121C06A" w:rsidR="00FA7E89" w:rsidRPr="00AB199A" w:rsidRDefault="00FA7E89" w:rsidP="00597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Tier 3 BIPs are developed using a FBA, rolled out clearly to teacher and families, implemented with fidelity, monitored with data and clearly documented </w:t>
            </w:r>
          </w:p>
        </w:tc>
        <w:tc>
          <w:tcPr>
            <w:tcW w:w="5935" w:type="dxa"/>
          </w:tcPr>
          <w:p w14:paraId="35B85D60" w14:textId="2BA8BAD8" w:rsidR="00FA7E89" w:rsidRPr="001D4292" w:rsidRDefault="00FA7E89" w:rsidP="00D33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BIP findings from BIP fidelity checklists and ensure </w:t>
            </w:r>
            <w:r w:rsidRPr="00D33A80">
              <w:rPr>
                <w:sz w:val="20"/>
                <w:szCs w:val="20"/>
              </w:rPr>
              <w:t xml:space="preserve">teacher actions </w:t>
            </w:r>
            <w:r>
              <w:rPr>
                <w:sz w:val="20"/>
                <w:szCs w:val="20"/>
              </w:rPr>
              <w:t>steps are specific, high-impact</w:t>
            </w:r>
            <w:r w:rsidRPr="00D33A80">
              <w:rPr>
                <w:sz w:val="20"/>
                <w:szCs w:val="20"/>
              </w:rPr>
              <w:t xml:space="preserve"> and transferrable.  If necessary, co-observe</w:t>
            </w:r>
            <w:r>
              <w:rPr>
                <w:sz w:val="20"/>
                <w:szCs w:val="20"/>
              </w:rPr>
              <w:t xml:space="preserve"> or rehearse conversation with teachers</w:t>
            </w:r>
            <w:r w:rsidRPr="00D33A80">
              <w:rPr>
                <w:sz w:val="20"/>
                <w:szCs w:val="20"/>
              </w:rPr>
              <w:t>.</w:t>
            </w:r>
          </w:p>
          <w:p w14:paraId="4B47DD94" w14:textId="0C4B0981" w:rsidR="00FA7E89" w:rsidRPr="006E2C38" w:rsidRDefault="00FA7E89" w:rsidP="00F4563F">
            <w:pPr>
              <w:rPr>
                <w:sz w:val="20"/>
                <w:szCs w:val="20"/>
              </w:rPr>
            </w:pPr>
          </w:p>
        </w:tc>
      </w:tr>
      <w:tr w:rsidR="00FA7E89" w14:paraId="7787D8B3" w14:textId="77777777" w:rsidTr="00472A7B">
        <w:tc>
          <w:tcPr>
            <w:tcW w:w="1615" w:type="dxa"/>
            <w:vMerge/>
            <w:shd w:val="clear" w:color="auto" w:fill="FBE4D5" w:themeFill="accent2" w:themeFillTint="33"/>
          </w:tcPr>
          <w:p w14:paraId="395CFAE0" w14:textId="77777777" w:rsidR="00FA7E89" w:rsidRDefault="00FA7E89" w:rsidP="00F4563F">
            <w:pPr>
              <w:rPr>
                <w:b/>
              </w:rPr>
            </w:pPr>
          </w:p>
        </w:tc>
        <w:tc>
          <w:tcPr>
            <w:tcW w:w="6840" w:type="dxa"/>
          </w:tcPr>
          <w:p w14:paraId="3F112995" w14:textId="77777777" w:rsidR="00FA7E89" w:rsidRPr="00445308" w:rsidRDefault="00FA7E89" w:rsidP="00F4563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students making insufficient growth despite receiving slowly intensifying interventions and facilitate a team meeting to determine whether the student should be referred for a special education evaluation. </w:t>
            </w:r>
          </w:p>
        </w:tc>
        <w:tc>
          <w:tcPr>
            <w:tcW w:w="5935" w:type="dxa"/>
          </w:tcPr>
          <w:p w14:paraId="10751A8A" w14:textId="385D014A" w:rsidR="00FA7E89" w:rsidRPr="001D4292" w:rsidRDefault="00FA7E89" w:rsidP="00245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robust and intensifying interventions have been implemented prior to </w:t>
            </w:r>
            <w:proofErr w:type="gramStart"/>
            <w:r>
              <w:rPr>
                <w:sz w:val="20"/>
                <w:szCs w:val="20"/>
              </w:rPr>
              <w:t>referring</w:t>
            </w:r>
            <w:r w:rsidR="002457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2457A0">
              <w:rPr>
                <w:sz w:val="20"/>
                <w:szCs w:val="20"/>
              </w:rPr>
              <w:t xml:space="preserve">child for </w:t>
            </w:r>
            <w:r>
              <w:rPr>
                <w:sz w:val="20"/>
                <w:szCs w:val="20"/>
              </w:rPr>
              <w:t>special education evaluation.</w:t>
            </w:r>
          </w:p>
        </w:tc>
      </w:tr>
      <w:tr w:rsidR="00FA7E89" w14:paraId="5D21DDEE" w14:textId="77777777" w:rsidTr="00472A7B">
        <w:tc>
          <w:tcPr>
            <w:tcW w:w="1615" w:type="dxa"/>
            <w:vMerge/>
            <w:shd w:val="clear" w:color="auto" w:fill="FBE4D5" w:themeFill="accent2" w:themeFillTint="33"/>
          </w:tcPr>
          <w:p w14:paraId="3191508D" w14:textId="77777777" w:rsidR="00FA7E89" w:rsidRDefault="00FA7E89" w:rsidP="00F4563F">
            <w:pPr>
              <w:rPr>
                <w:b/>
              </w:rPr>
            </w:pPr>
          </w:p>
        </w:tc>
        <w:tc>
          <w:tcPr>
            <w:tcW w:w="6840" w:type="dxa"/>
          </w:tcPr>
          <w:p w14:paraId="2ECBFF13" w14:textId="313EADB0" w:rsidR="00FA7E89" w:rsidRDefault="00FA7E89" w:rsidP="00F4563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a “suspension watch-list” for students who have demonstrated a pattern of concerning behaviors to trigger a conversation between the DOS, SSL and principal prior to issuing a suspension.</w:t>
            </w:r>
          </w:p>
        </w:tc>
        <w:tc>
          <w:tcPr>
            <w:tcW w:w="5935" w:type="dxa"/>
          </w:tcPr>
          <w:p w14:paraId="63054B2D" w14:textId="77777777" w:rsidR="00FA7E89" w:rsidRDefault="00FA7E89" w:rsidP="00F4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that any scholar who is approaching 10 days of suspension is receiving interventions (This includes partnering with the district to proactively communicate the possibility of upcoming potential MDRs.)</w:t>
            </w:r>
          </w:p>
        </w:tc>
      </w:tr>
      <w:tr w:rsidR="00FA7E89" w14:paraId="1917E3F8" w14:textId="77777777" w:rsidTr="00472A7B">
        <w:tc>
          <w:tcPr>
            <w:tcW w:w="1615" w:type="dxa"/>
            <w:vMerge/>
            <w:shd w:val="clear" w:color="auto" w:fill="FBE4D5" w:themeFill="accent2" w:themeFillTint="33"/>
          </w:tcPr>
          <w:p w14:paraId="774BD278" w14:textId="77777777" w:rsidR="00FA7E89" w:rsidRDefault="00FA7E89" w:rsidP="00F4563F">
            <w:pPr>
              <w:rPr>
                <w:b/>
              </w:rPr>
            </w:pPr>
          </w:p>
        </w:tc>
        <w:tc>
          <w:tcPr>
            <w:tcW w:w="6840" w:type="dxa"/>
          </w:tcPr>
          <w:p w14:paraId="32D62BB9" w14:textId="588E2CDD" w:rsidR="00FA7E89" w:rsidRPr="00AB199A" w:rsidRDefault="00FA7E89" w:rsidP="00F4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Trigger</w:t>
            </w:r>
            <w:r w:rsidRPr="00AB199A">
              <w:rPr>
                <w:sz w:val="20"/>
                <w:szCs w:val="20"/>
              </w:rPr>
              <w:t xml:space="preserve"> the Manifestation Determination Review process, if necessary</w:t>
            </w:r>
            <w:r>
              <w:rPr>
                <w:sz w:val="20"/>
                <w:szCs w:val="20"/>
              </w:rPr>
              <w:t xml:space="preserve"> (including ma</w:t>
            </w:r>
            <w:r w:rsidR="002457A0">
              <w:rPr>
                <w:sz w:val="20"/>
                <w:szCs w:val="20"/>
              </w:rPr>
              <w:t>naging preparation of materials.)</w:t>
            </w:r>
          </w:p>
        </w:tc>
        <w:tc>
          <w:tcPr>
            <w:tcW w:w="5935" w:type="dxa"/>
          </w:tcPr>
          <w:p w14:paraId="5D5821DC" w14:textId="2EB8F4B6" w:rsidR="00FA7E89" w:rsidRPr="006E2C38" w:rsidRDefault="00FA7E89" w:rsidP="00F4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Probe to uncover underlying gaps in the school</w:t>
            </w:r>
            <w:r w:rsidR="002457A0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s actions and assumptions which led to the student requiring an MDR.</w:t>
            </w:r>
          </w:p>
        </w:tc>
      </w:tr>
    </w:tbl>
    <w:p w14:paraId="44915BEA" w14:textId="77777777" w:rsidR="00A74BF0" w:rsidRDefault="00A74BF0" w:rsidP="002937EE">
      <w:pPr>
        <w:rPr>
          <w:b/>
        </w:rPr>
      </w:pPr>
    </w:p>
    <w:p w14:paraId="177FEA0A" w14:textId="77777777" w:rsidR="00A74BF0" w:rsidRDefault="00A74BF0">
      <w:pPr>
        <w:rPr>
          <w:b/>
        </w:rPr>
      </w:pPr>
      <w:r>
        <w:rPr>
          <w:b/>
        </w:rPr>
        <w:br w:type="page"/>
      </w:r>
    </w:p>
    <w:p w14:paraId="214246CB" w14:textId="77777777" w:rsidR="00A74BF0" w:rsidRPr="00C952D4" w:rsidRDefault="00A74BF0" w:rsidP="00A74BF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Achievement First Dean of Special Services: Key Data to Drive Work</w:t>
      </w:r>
    </w:p>
    <w:p w14:paraId="06A2A654" w14:textId="77777777" w:rsidR="00A74BF0" w:rsidRPr="00C952D4" w:rsidRDefault="00A74BF0" w:rsidP="00A74BF0">
      <w:pPr>
        <w:spacing w:after="0" w:line="240" w:lineRule="auto"/>
        <w:rPr>
          <w:i/>
          <w:sz w:val="18"/>
          <w:szCs w:val="18"/>
        </w:rPr>
      </w:pPr>
      <w:r w:rsidRPr="00C952D4">
        <w:rPr>
          <w:i/>
          <w:sz w:val="18"/>
          <w:szCs w:val="18"/>
        </w:rPr>
        <w:t>The following table is intended for use as a guide.</w:t>
      </w:r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1908"/>
        <w:gridCol w:w="3150"/>
        <w:gridCol w:w="1710"/>
        <w:gridCol w:w="7848"/>
      </w:tblGrid>
      <w:tr w:rsidR="00A74BF0" w14:paraId="151E1C6F" w14:textId="77777777" w:rsidTr="009D1CAA">
        <w:trPr>
          <w:cantSplit/>
          <w:trHeight w:val="566"/>
        </w:trPr>
        <w:tc>
          <w:tcPr>
            <w:tcW w:w="1908" w:type="dxa"/>
            <w:shd w:val="clear" w:color="auto" w:fill="D5DCE4" w:themeFill="text2" w:themeFillTint="33"/>
            <w:vAlign w:val="center"/>
          </w:tcPr>
          <w:p w14:paraId="28D38A0E" w14:textId="77777777" w:rsidR="00A74BF0" w:rsidRPr="00C952D4" w:rsidRDefault="00A74BF0" w:rsidP="009D1CAA">
            <w:pPr>
              <w:jc w:val="center"/>
              <w:rPr>
                <w:b/>
              </w:rPr>
            </w:pPr>
            <w:r>
              <w:rPr>
                <w:b/>
              </w:rPr>
              <w:t>Key Data to Look At:</w:t>
            </w:r>
          </w:p>
        </w:tc>
        <w:tc>
          <w:tcPr>
            <w:tcW w:w="3150" w:type="dxa"/>
            <w:shd w:val="clear" w:color="auto" w:fill="D5DCE4" w:themeFill="text2" w:themeFillTint="33"/>
            <w:vAlign w:val="center"/>
          </w:tcPr>
          <w:p w14:paraId="56641500" w14:textId="77777777" w:rsidR="00A74BF0" w:rsidRDefault="00A74BF0" w:rsidP="009D1CAA">
            <w:pPr>
              <w:jc w:val="center"/>
              <w:rPr>
                <w:b/>
              </w:rPr>
            </w:pPr>
            <w:r>
              <w:rPr>
                <w:b/>
              </w:rPr>
              <w:t>Most Helpful Reports to Review:</w:t>
            </w:r>
          </w:p>
        </w:tc>
        <w:tc>
          <w:tcPr>
            <w:tcW w:w="1710" w:type="dxa"/>
            <w:shd w:val="clear" w:color="auto" w:fill="D5DCE4" w:themeFill="text2" w:themeFillTint="33"/>
            <w:vAlign w:val="center"/>
          </w:tcPr>
          <w:p w14:paraId="588679A4" w14:textId="77777777" w:rsidR="00A74BF0" w:rsidRPr="00C952D4" w:rsidRDefault="00A74BF0" w:rsidP="009D1CAA">
            <w:pPr>
              <w:jc w:val="center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7848" w:type="dxa"/>
            <w:shd w:val="clear" w:color="auto" w:fill="D5DCE4" w:themeFill="text2" w:themeFillTint="33"/>
            <w:vAlign w:val="center"/>
          </w:tcPr>
          <w:p w14:paraId="39F55DD9" w14:textId="77777777" w:rsidR="00A74BF0" w:rsidRPr="00AE2AF2" w:rsidRDefault="00A74BF0" w:rsidP="009D1CAA">
            <w:pPr>
              <w:jc w:val="center"/>
              <w:rPr>
                <w:b/>
              </w:rPr>
            </w:pPr>
            <w:r>
              <w:rPr>
                <w:b/>
              </w:rPr>
              <w:t>Purpose</w:t>
            </w:r>
          </w:p>
        </w:tc>
      </w:tr>
      <w:tr w:rsidR="00A74BF0" w14:paraId="42AAE3B2" w14:textId="77777777" w:rsidTr="009D1CAA">
        <w:trPr>
          <w:cantSplit/>
          <w:trHeight w:val="1134"/>
        </w:trPr>
        <w:tc>
          <w:tcPr>
            <w:tcW w:w="1908" w:type="dxa"/>
            <w:shd w:val="clear" w:color="auto" w:fill="D9D9D9" w:themeFill="background1" w:themeFillShade="D9"/>
          </w:tcPr>
          <w:p w14:paraId="3F35968E" w14:textId="77777777" w:rsidR="00A74BF0" w:rsidRDefault="00A74BF0" w:rsidP="009D1CAA">
            <w:pPr>
              <w:rPr>
                <w:b/>
              </w:rPr>
            </w:pPr>
            <w:r>
              <w:rPr>
                <w:b/>
              </w:rPr>
              <w:t xml:space="preserve">Behavior Data </w:t>
            </w:r>
          </w:p>
        </w:tc>
        <w:tc>
          <w:tcPr>
            <w:tcW w:w="3150" w:type="dxa"/>
          </w:tcPr>
          <w:p w14:paraId="3A5740A8" w14:textId="683B648D" w:rsidR="002342CB" w:rsidRDefault="00DB4344" w:rsidP="00A74BF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based G</w:t>
            </w:r>
            <w:r w:rsidR="002342CB">
              <w:rPr>
                <w:sz w:val="20"/>
                <w:szCs w:val="20"/>
              </w:rPr>
              <w:t>oogle tracker of all students and all triggers</w:t>
            </w:r>
          </w:p>
          <w:p w14:paraId="05DDA353" w14:textId="79DA391A" w:rsidR="00A74BF0" w:rsidRDefault="000C1A4A" w:rsidP="00A74BF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hyperlink r:id="rId6" w:anchor="1" w:history="1">
              <w:r w:rsidR="00785D64" w:rsidRPr="009D1CAA">
                <w:rPr>
                  <w:rStyle w:val="Hyperlink"/>
                  <w:sz w:val="20"/>
                  <w:szCs w:val="20"/>
                </w:rPr>
                <w:t>Suspension</w:t>
              </w:r>
              <w:r w:rsidR="00A74BF0" w:rsidRPr="009D1CAA">
                <w:rPr>
                  <w:rStyle w:val="Hyperlink"/>
                  <w:sz w:val="20"/>
                  <w:szCs w:val="20"/>
                </w:rPr>
                <w:t xml:space="preserve"> Dashboard</w:t>
              </w:r>
            </w:hyperlink>
            <w:r w:rsidR="00A74BF0" w:rsidRPr="00AB2810">
              <w:rPr>
                <w:sz w:val="20"/>
                <w:szCs w:val="20"/>
              </w:rPr>
              <w:t xml:space="preserve"> </w:t>
            </w:r>
          </w:p>
          <w:p w14:paraId="1147AF0B" w14:textId="651C3314" w:rsidR="00785D64" w:rsidRPr="009D1CAA" w:rsidRDefault="009D1CAA" w:rsidP="00A74BF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Style w:val="Hyperlink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"https://tableau.achievementfirst.org/views/RemovalReport_vFinal/RemovalManagement?:embed=yes&amp;:toolbar=top&amp;:refresh=yes" \l "1" </w:instrText>
            </w:r>
            <w:r>
              <w:rPr>
                <w:sz w:val="20"/>
                <w:szCs w:val="20"/>
              </w:rPr>
              <w:fldChar w:fldCharType="separate"/>
            </w:r>
            <w:r w:rsidR="00785D64" w:rsidRPr="009D1CAA">
              <w:rPr>
                <w:rStyle w:val="Hyperlink"/>
                <w:sz w:val="20"/>
                <w:szCs w:val="20"/>
              </w:rPr>
              <w:t xml:space="preserve">Removal </w:t>
            </w:r>
            <w:r w:rsidRPr="009D1CAA">
              <w:rPr>
                <w:rStyle w:val="Hyperlink"/>
                <w:sz w:val="20"/>
                <w:szCs w:val="20"/>
              </w:rPr>
              <w:t xml:space="preserve">Management </w:t>
            </w:r>
            <w:r w:rsidRPr="009D1CAA">
              <w:rPr>
                <w:rStyle w:val="Hyperlink"/>
                <w:sz w:val="20"/>
                <w:szCs w:val="20"/>
              </w:rPr>
              <w:br/>
              <w:t>Report</w:t>
            </w:r>
          </w:p>
          <w:p w14:paraId="445D9AC4" w14:textId="47B11847" w:rsidR="00785D64" w:rsidRDefault="009D1CAA" w:rsidP="00A74BF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  <w:hyperlink r:id="rId7" w:anchor="11" w:history="1">
              <w:r w:rsidR="00785D64" w:rsidRPr="009D1CAA">
                <w:rPr>
                  <w:rStyle w:val="Hyperlink"/>
                  <w:sz w:val="20"/>
                  <w:szCs w:val="20"/>
                </w:rPr>
                <w:t>Student Trends Report</w:t>
              </w:r>
            </w:hyperlink>
          </w:p>
          <w:p w14:paraId="22CF638C" w14:textId="7B858F7F" w:rsidR="00A74BF0" w:rsidRDefault="002240C7" w:rsidP="00A74BF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SPATA Report</w:t>
            </w:r>
          </w:p>
          <w:p w14:paraId="092AB4C6" w14:textId="77777777" w:rsidR="00A74BF0" w:rsidRPr="00AB2810" w:rsidRDefault="00A74BF0" w:rsidP="009D1CAA">
            <w:pPr>
              <w:ind w:left="360"/>
              <w:rPr>
                <w:sz w:val="20"/>
                <w:szCs w:val="20"/>
              </w:rPr>
            </w:pPr>
          </w:p>
          <w:p w14:paraId="4665CB46" w14:textId="77777777" w:rsidR="00A74BF0" w:rsidRPr="00AB2810" w:rsidRDefault="00A74BF0" w:rsidP="009D1CA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4A3410E0" w14:textId="77777777" w:rsidR="00A74BF0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Weekly </w:t>
            </w:r>
          </w:p>
        </w:tc>
        <w:tc>
          <w:tcPr>
            <w:tcW w:w="7848" w:type="dxa"/>
          </w:tcPr>
          <w:p w14:paraId="4A78300D" w14:textId="3548FDF4" w:rsidR="00A74BF0" w:rsidRDefault="00A74BF0" w:rsidP="00A74B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Gather information for </w:t>
            </w:r>
            <w:r w:rsidR="00785D6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iered </w:t>
            </w:r>
            <w:r w:rsidR="003A563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ntervention</w:t>
            </w:r>
            <w:r w:rsidR="003A563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and Behavior Support Plans </w:t>
            </w:r>
          </w:p>
          <w:p w14:paraId="7FD831EB" w14:textId="19186AE1" w:rsidR="00A74BF0" w:rsidRDefault="00A74BF0" w:rsidP="00A74B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Manifestation Determination</w:t>
            </w:r>
            <w:r w:rsidR="00785D64">
              <w:rPr>
                <w:sz w:val="20"/>
                <w:szCs w:val="20"/>
              </w:rPr>
              <w:t xml:space="preserve"> Review</w:t>
            </w:r>
            <w:r>
              <w:rPr>
                <w:sz w:val="20"/>
                <w:szCs w:val="20"/>
              </w:rPr>
              <w:t xml:space="preserve"> meetings (if needed) </w:t>
            </w:r>
          </w:p>
          <w:p w14:paraId="2400045A" w14:textId="77777777" w:rsidR="00A74BF0" w:rsidRDefault="00A74BF0" w:rsidP="00A74B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405C8F">
              <w:rPr>
                <w:sz w:val="20"/>
                <w:szCs w:val="20"/>
              </w:rPr>
              <w:t>Identify the school’s most str</w:t>
            </w:r>
            <w:r>
              <w:rPr>
                <w:sz w:val="20"/>
                <w:szCs w:val="20"/>
              </w:rPr>
              <w:t>uggling scholars and teachers</w:t>
            </w:r>
          </w:p>
          <w:p w14:paraId="2FB3AD77" w14:textId="498D6D1C" w:rsidR="00A74BF0" w:rsidRDefault="00A74BF0" w:rsidP="00A74B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405C8F">
              <w:rPr>
                <w:sz w:val="20"/>
                <w:szCs w:val="20"/>
              </w:rPr>
              <w:t xml:space="preserve">Develop </w:t>
            </w:r>
            <w:r>
              <w:rPr>
                <w:sz w:val="20"/>
                <w:szCs w:val="20"/>
              </w:rPr>
              <w:t xml:space="preserve">individual </w:t>
            </w:r>
            <w:r w:rsidRPr="00405C8F">
              <w:rPr>
                <w:sz w:val="20"/>
                <w:szCs w:val="20"/>
              </w:rPr>
              <w:t xml:space="preserve">support plans to </w:t>
            </w:r>
            <w:r>
              <w:rPr>
                <w:sz w:val="20"/>
                <w:szCs w:val="20"/>
              </w:rPr>
              <w:t xml:space="preserve">accelerate growth </w:t>
            </w:r>
          </w:p>
          <w:p w14:paraId="1B126D9F" w14:textId="406DE839" w:rsidR="00A74BF0" w:rsidRDefault="00DB4344" w:rsidP="00A74B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Track the implementation </w:t>
            </w:r>
            <w:r w:rsidR="00A74BF0">
              <w:rPr>
                <w:sz w:val="20"/>
                <w:szCs w:val="20"/>
              </w:rPr>
              <w:t xml:space="preserve">of the plans and progress monitor </w:t>
            </w:r>
          </w:p>
          <w:p w14:paraId="2D0439DD" w14:textId="4CDB1362" w:rsidR="00A74BF0" w:rsidRPr="00CF7717" w:rsidRDefault="00A74BF0" w:rsidP="00A74B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CF7717">
              <w:rPr>
                <w:sz w:val="20"/>
                <w:szCs w:val="20"/>
              </w:rPr>
              <w:t>Identify students for</w:t>
            </w:r>
            <w:r w:rsidR="003A563F">
              <w:rPr>
                <w:sz w:val="20"/>
                <w:szCs w:val="20"/>
              </w:rPr>
              <w:t xml:space="preserve"> Tier 2 and Tier 3 Intervention using network triggers</w:t>
            </w:r>
          </w:p>
          <w:p w14:paraId="162CA99B" w14:textId="77777777" w:rsidR="00A74BF0" w:rsidRDefault="00A74BF0" w:rsidP="00A74B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school-wide action plans to best serve subsets of scholars </w:t>
            </w:r>
          </w:p>
          <w:p w14:paraId="4A735C60" w14:textId="77777777" w:rsidR="00A74BF0" w:rsidRDefault="00A74BF0" w:rsidP="00A74B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B43DB5">
              <w:rPr>
                <w:sz w:val="20"/>
                <w:szCs w:val="20"/>
              </w:rPr>
              <w:t>Identify positive outliers and ensure students receive recognition</w:t>
            </w:r>
          </w:p>
          <w:p w14:paraId="46ABAA23" w14:textId="62657246" w:rsidR="00A74BF0" w:rsidRPr="00ED2981" w:rsidRDefault="00A74BF0" w:rsidP="00A74B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scholars whose promotion is in doubt and diagnose why in order to build a support plan</w:t>
            </w:r>
            <w:r w:rsidR="00DB4344">
              <w:rPr>
                <w:sz w:val="20"/>
                <w:szCs w:val="20"/>
              </w:rPr>
              <w:t xml:space="preserve"> and communicate to parents</w:t>
            </w:r>
          </w:p>
        </w:tc>
      </w:tr>
      <w:tr w:rsidR="00A74BF0" w14:paraId="246072B4" w14:textId="77777777" w:rsidTr="009D1CAA">
        <w:trPr>
          <w:cantSplit/>
          <w:trHeight w:val="1583"/>
        </w:trPr>
        <w:tc>
          <w:tcPr>
            <w:tcW w:w="1908" w:type="dxa"/>
            <w:shd w:val="clear" w:color="auto" w:fill="D9D9D9" w:themeFill="background1" w:themeFillShade="D9"/>
          </w:tcPr>
          <w:p w14:paraId="30EDFB7B" w14:textId="40583C4E" w:rsidR="00A74BF0" w:rsidRDefault="00A74BF0" w:rsidP="009D1CAA">
            <w:pPr>
              <w:rPr>
                <w:b/>
              </w:rPr>
            </w:pPr>
            <w:r>
              <w:rPr>
                <w:b/>
              </w:rPr>
              <w:t>Walkthrough Data</w:t>
            </w:r>
          </w:p>
          <w:p w14:paraId="34D57307" w14:textId="77777777" w:rsidR="00A74BF0" w:rsidRPr="00430E8C" w:rsidRDefault="00A74BF0" w:rsidP="009D1CAA"/>
          <w:p w14:paraId="7BAAA91C" w14:textId="77777777" w:rsidR="00A74BF0" w:rsidRDefault="00A74BF0" w:rsidP="009D1CAA"/>
          <w:p w14:paraId="5D2681A5" w14:textId="77777777" w:rsidR="00A74BF0" w:rsidRDefault="00A74BF0" w:rsidP="009D1CAA"/>
          <w:p w14:paraId="29487521" w14:textId="77777777" w:rsidR="00A74BF0" w:rsidRDefault="00A74BF0" w:rsidP="009D1CAA"/>
          <w:p w14:paraId="5BC232D3" w14:textId="77777777" w:rsidR="00A74BF0" w:rsidRPr="00430E8C" w:rsidRDefault="00A74BF0" w:rsidP="009D1CAA"/>
        </w:tc>
        <w:tc>
          <w:tcPr>
            <w:tcW w:w="3150" w:type="dxa"/>
          </w:tcPr>
          <w:p w14:paraId="4424BF90" w14:textId="2C6C3EC5" w:rsidR="00A74BF0" w:rsidRPr="00D45472" w:rsidRDefault="002342CB" w:rsidP="00A74B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A74BF0" w:rsidRPr="00D45472">
              <w:rPr>
                <w:sz w:val="20"/>
                <w:szCs w:val="20"/>
              </w:rPr>
              <w:t>alkthrough data</w:t>
            </w:r>
            <w:r w:rsidR="00785D64">
              <w:rPr>
                <w:sz w:val="20"/>
                <w:szCs w:val="20"/>
              </w:rPr>
              <w:t xml:space="preserve"> </w:t>
            </w:r>
          </w:p>
          <w:p w14:paraId="3749A562" w14:textId="3483FE07" w:rsidR="00A74BF0" w:rsidRPr="005928F1" w:rsidRDefault="002342CB" w:rsidP="00A74B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Observation</w:t>
            </w:r>
            <w:r w:rsidRPr="005928F1">
              <w:rPr>
                <w:sz w:val="20"/>
              </w:rPr>
              <w:t xml:space="preserve"> </w:t>
            </w:r>
            <w:r w:rsidR="00A74BF0" w:rsidRPr="005928F1">
              <w:rPr>
                <w:sz w:val="20"/>
              </w:rPr>
              <w:t>Tracker Data</w:t>
            </w:r>
          </w:p>
        </w:tc>
        <w:tc>
          <w:tcPr>
            <w:tcW w:w="1710" w:type="dxa"/>
          </w:tcPr>
          <w:p w14:paraId="053C535B" w14:textId="0A97D817" w:rsidR="00A74BF0" w:rsidRDefault="00785D64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Bi-weekly</w:t>
            </w:r>
          </w:p>
        </w:tc>
        <w:tc>
          <w:tcPr>
            <w:tcW w:w="7848" w:type="dxa"/>
          </w:tcPr>
          <w:p w14:paraId="7656827A" w14:textId="77777777" w:rsidR="00A74BF0" w:rsidRDefault="00A74BF0" w:rsidP="00A74B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struggling teachers, whole-school pain points and whole-school trends for PD</w:t>
            </w:r>
          </w:p>
          <w:p w14:paraId="6FD879E7" w14:textId="77777777" w:rsidR="00A74BF0" w:rsidRDefault="00A74BF0" w:rsidP="00A74B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plan around the data to determine coaching and PD priorities</w:t>
            </w:r>
          </w:p>
          <w:p w14:paraId="5EC98F39" w14:textId="77777777" w:rsidR="00A74BF0" w:rsidRPr="005928F1" w:rsidRDefault="00A74BF0" w:rsidP="00A74BF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5928F1">
              <w:rPr>
                <w:sz w:val="20"/>
                <w:szCs w:val="20"/>
              </w:rPr>
              <w:t xml:space="preserve">Observe CTT and Intervention classes at least as often as core content classes </w:t>
            </w:r>
          </w:p>
          <w:p w14:paraId="0C8D50C6" w14:textId="0F626819" w:rsidR="00A74BF0" w:rsidRPr="00AB2810" w:rsidRDefault="00A74BF0" w:rsidP="00785D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BF0C8A">
              <w:rPr>
                <w:sz w:val="20"/>
                <w:szCs w:val="20"/>
              </w:rPr>
              <w:t xml:space="preserve">Ensure that </w:t>
            </w:r>
            <w:r w:rsidR="00785D64">
              <w:rPr>
                <w:sz w:val="20"/>
                <w:szCs w:val="20"/>
              </w:rPr>
              <w:t>c</w:t>
            </w:r>
            <w:r w:rsidRPr="00BF0C8A">
              <w:rPr>
                <w:sz w:val="20"/>
                <w:szCs w:val="20"/>
              </w:rPr>
              <w:t xml:space="preserve">oaches of co-teachers are providing CTT </w:t>
            </w:r>
            <w:r w:rsidR="00785D64">
              <w:rPr>
                <w:sz w:val="20"/>
                <w:szCs w:val="20"/>
              </w:rPr>
              <w:t>s</w:t>
            </w:r>
            <w:r w:rsidRPr="00BF0C8A">
              <w:rPr>
                <w:sz w:val="20"/>
                <w:szCs w:val="20"/>
              </w:rPr>
              <w:t xml:space="preserve">pecific </w:t>
            </w:r>
            <w:r w:rsidR="00785D64">
              <w:rPr>
                <w:sz w:val="20"/>
                <w:szCs w:val="20"/>
              </w:rPr>
              <w:t>f</w:t>
            </w:r>
            <w:r w:rsidRPr="00BF0C8A">
              <w:rPr>
                <w:sz w:val="20"/>
                <w:szCs w:val="20"/>
              </w:rPr>
              <w:t>eedback</w:t>
            </w:r>
          </w:p>
        </w:tc>
      </w:tr>
      <w:tr w:rsidR="00A74BF0" w14:paraId="7C5B7032" w14:textId="77777777" w:rsidTr="009D1CAA">
        <w:trPr>
          <w:cantSplit/>
          <w:trHeight w:val="1134"/>
        </w:trPr>
        <w:tc>
          <w:tcPr>
            <w:tcW w:w="1908" w:type="dxa"/>
            <w:shd w:val="clear" w:color="auto" w:fill="D9D9D9" w:themeFill="background1" w:themeFillShade="D9"/>
          </w:tcPr>
          <w:p w14:paraId="231D34C4" w14:textId="77777777" w:rsidR="00A74BF0" w:rsidRDefault="00A74BF0" w:rsidP="009D1CAA">
            <w:pPr>
              <w:rPr>
                <w:b/>
              </w:rPr>
            </w:pPr>
            <w:r>
              <w:rPr>
                <w:b/>
              </w:rPr>
              <w:t xml:space="preserve">Special Services Data </w:t>
            </w:r>
          </w:p>
        </w:tc>
        <w:tc>
          <w:tcPr>
            <w:tcW w:w="3150" w:type="dxa"/>
          </w:tcPr>
          <w:p w14:paraId="327E00B8" w14:textId="4527C283" w:rsidR="00A74BF0" w:rsidRPr="00A3408D" w:rsidRDefault="00A3408D" w:rsidP="00A34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  <w:r w:rsidR="00A74BF0" w:rsidRPr="00A3408D">
              <w:rPr>
                <w:sz w:val="20"/>
                <w:szCs w:val="20"/>
              </w:rPr>
              <w:t>Monthly SPATA Report</w:t>
            </w:r>
          </w:p>
        </w:tc>
        <w:tc>
          <w:tcPr>
            <w:tcW w:w="1710" w:type="dxa"/>
          </w:tcPr>
          <w:p w14:paraId="26EE718E" w14:textId="77777777" w:rsidR="00A74BF0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Monthly </w:t>
            </w:r>
          </w:p>
        </w:tc>
        <w:tc>
          <w:tcPr>
            <w:tcW w:w="7848" w:type="dxa"/>
          </w:tcPr>
          <w:p w14:paraId="24871ED8" w14:textId="205C1A25" w:rsidR="00A74BF0" w:rsidRPr="00BE28F9" w:rsidRDefault="00A74BF0" w:rsidP="00A74B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</w:t>
            </w:r>
            <w:r w:rsidRPr="00BE2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Special Services </w:t>
            </w:r>
            <w:r w:rsidR="00DB4344">
              <w:rPr>
                <w:sz w:val="20"/>
                <w:szCs w:val="20"/>
              </w:rPr>
              <w:t>data trends</w:t>
            </w:r>
            <w:r>
              <w:rPr>
                <w:sz w:val="20"/>
                <w:szCs w:val="20"/>
              </w:rPr>
              <w:t xml:space="preserve"> </w:t>
            </w:r>
          </w:p>
          <w:p w14:paraId="6EB6F82B" w14:textId="77777777" w:rsidR="00A74BF0" w:rsidRPr="00BE28F9" w:rsidRDefault="00A74BF0" w:rsidP="00A74B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key data including: Demographics, Suspensions, Withdrawals, Annual Review, Initial Referrals  </w:t>
            </w:r>
          </w:p>
        </w:tc>
      </w:tr>
      <w:tr w:rsidR="00A74BF0" w:rsidRPr="00183A5F" w14:paraId="6DD7BC1F" w14:textId="77777777" w:rsidTr="009D1CAA">
        <w:trPr>
          <w:cantSplit/>
          <w:trHeight w:val="575"/>
        </w:trPr>
        <w:tc>
          <w:tcPr>
            <w:tcW w:w="1908" w:type="dxa"/>
            <w:shd w:val="clear" w:color="auto" w:fill="D9D9D9" w:themeFill="background1" w:themeFillShade="D9"/>
          </w:tcPr>
          <w:p w14:paraId="5AEC21A1" w14:textId="77777777" w:rsidR="00A74BF0" w:rsidRPr="002156FE" w:rsidRDefault="00A74BF0" w:rsidP="009D1CAA">
            <w:pPr>
              <w:rPr>
                <w:b/>
              </w:rPr>
            </w:pPr>
            <w:r>
              <w:rPr>
                <w:b/>
              </w:rPr>
              <w:t>Weekly Quiz or Exit Ticket Data</w:t>
            </w:r>
          </w:p>
        </w:tc>
        <w:tc>
          <w:tcPr>
            <w:tcW w:w="3150" w:type="dxa"/>
          </w:tcPr>
          <w:p w14:paraId="2FD2F3E2" w14:textId="5D6363DB" w:rsidR="00A74BF0" w:rsidRPr="002240C7" w:rsidRDefault="002240C7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 </w:t>
            </w:r>
            <w:hyperlink r:id="rId8" w:anchor="8" w:history="1">
              <w:r w:rsidRPr="009D1CAA">
                <w:rPr>
                  <w:rStyle w:val="Hyperlink"/>
                  <w:sz w:val="20"/>
                  <w:szCs w:val="20"/>
                </w:rPr>
                <w:t>Weekly Quiz Report</w:t>
              </w:r>
            </w:hyperlink>
          </w:p>
        </w:tc>
        <w:tc>
          <w:tcPr>
            <w:tcW w:w="1710" w:type="dxa"/>
          </w:tcPr>
          <w:p w14:paraId="4AE2E923" w14:textId="77777777" w:rsidR="00A74BF0" w:rsidRPr="00DB0931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Weekly </w:t>
            </w:r>
          </w:p>
        </w:tc>
        <w:tc>
          <w:tcPr>
            <w:tcW w:w="7848" w:type="dxa"/>
          </w:tcPr>
          <w:p w14:paraId="7E16BADA" w14:textId="4547AE9D" w:rsidR="00A74BF0" w:rsidRPr="00183A5F" w:rsidRDefault="00DB4344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Alongside teachers, or in reflections with teachers </w:t>
            </w:r>
            <w:r w:rsidR="00A74BF0">
              <w:rPr>
                <w:sz w:val="20"/>
                <w:szCs w:val="20"/>
              </w:rPr>
              <w:t xml:space="preserve"> :</w:t>
            </w:r>
          </w:p>
          <w:p w14:paraId="490B46EA" w14:textId="77777777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what scholars are understanding or able to do independently</w:t>
            </w:r>
          </w:p>
          <w:p w14:paraId="50AC5374" w14:textId="001DE428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student work to provide targeted feedback for students, includ</w:t>
            </w:r>
            <w:r w:rsidR="00DB4344">
              <w:rPr>
                <w:sz w:val="20"/>
                <w:szCs w:val="20"/>
              </w:rPr>
              <w:t>ing opportunities to re-do work</w:t>
            </w:r>
          </w:p>
          <w:p w14:paraId="7E0A57D0" w14:textId="64117915" w:rsidR="00A74BF0" w:rsidRPr="00183A5F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 how upcoming lessons may need to be adjus</w:t>
            </w:r>
            <w:r w:rsidR="00DB4344">
              <w:rPr>
                <w:sz w:val="20"/>
                <w:szCs w:val="20"/>
              </w:rPr>
              <w:t xml:space="preserve">ted based on foundational skills </w:t>
            </w:r>
            <w:r>
              <w:rPr>
                <w:sz w:val="20"/>
                <w:szCs w:val="20"/>
              </w:rPr>
              <w:t>scholars are in the process of building</w:t>
            </w:r>
          </w:p>
        </w:tc>
      </w:tr>
      <w:tr w:rsidR="00A74BF0" w:rsidRPr="0062773E" w14:paraId="54691068" w14:textId="77777777" w:rsidTr="009D1CAA">
        <w:trPr>
          <w:cantSplit/>
          <w:trHeight w:val="575"/>
        </w:trPr>
        <w:tc>
          <w:tcPr>
            <w:tcW w:w="1908" w:type="dxa"/>
            <w:shd w:val="clear" w:color="auto" w:fill="D9D9D9" w:themeFill="background1" w:themeFillShade="D9"/>
          </w:tcPr>
          <w:p w14:paraId="0C3BE9ED" w14:textId="7191E0B9" w:rsidR="00A74BF0" w:rsidRPr="0062773E" w:rsidRDefault="009D1CAA" w:rsidP="009D1CAA">
            <w:pPr>
              <w:rPr>
                <w:b/>
              </w:rPr>
            </w:pPr>
            <w:r>
              <w:rPr>
                <w:b/>
              </w:rPr>
              <w:t>Student Grades</w:t>
            </w:r>
          </w:p>
        </w:tc>
        <w:tc>
          <w:tcPr>
            <w:tcW w:w="3150" w:type="dxa"/>
          </w:tcPr>
          <w:p w14:paraId="7189D53A" w14:textId="43DEFD17" w:rsidR="00A74BF0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9D1CAA">
              <w:rPr>
                <w:sz w:val="20"/>
                <w:szCs w:val="20"/>
              </w:rPr>
              <w:t>Student Grades in IC</w:t>
            </w:r>
          </w:p>
          <w:p w14:paraId="24FFBF60" w14:textId="77777777" w:rsidR="00A74BF0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hyperlink r:id="rId9" w:anchor="3" w:history="1">
              <w:r w:rsidR="009D1CAA" w:rsidRPr="009D1CAA">
                <w:rPr>
                  <w:rStyle w:val="Hyperlink"/>
                  <w:sz w:val="20"/>
                  <w:szCs w:val="20"/>
                </w:rPr>
                <w:t>Grade Book KPI Report</w:t>
              </w:r>
            </w:hyperlink>
          </w:p>
          <w:p w14:paraId="7CA3BA01" w14:textId="147E489E" w:rsidR="00A3408D" w:rsidRPr="001A3066" w:rsidRDefault="00A3408D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hyperlink r:id="rId10" w:anchor="17" w:history="1">
              <w:r w:rsidRPr="00A3408D">
                <w:rPr>
                  <w:rStyle w:val="Hyperlink"/>
                  <w:sz w:val="20"/>
                  <w:szCs w:val="20"/>
                </w:rPr>
                <w:t>GPA Report</w:t>
              </w:r>
            </w:hyperlink>
          </w:p>
        </w:tc>
        <w:tc>
          <w:tcPr>
            <w:tcW w:w="1710" w:type="dxa"/>
          </w:tcPr>
          <w:p w14:paraId="3023AE9A" w14:textId="77777777" w:rsidR="00A74BF0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</w:t>
            </w:r>
          </w:p>
        </w:tc>
        <w:tc>
          <w:tcPr>
            <w:tcW w:w="7848" w:type="dxa"/>
          </w:tcPr>
          <w:p w14:paraId="63EE15B2" w14:textId="1D8C6D27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if specific classes have a hi</w:t>
            </w:r>
            <w:r w:rsidR="00DB4344">
              <w:rPr>
                <w:sz w:val="20"/>
                <w:szCs w:val="20"/>
              </w:rPr>
              <w:t xml:space="preserve">gh % of students failing, or </w:t>
            </w:r>
            <w:r>
              <w:rPr>
                <w:sz w:val="20"/>
                <w:szCs w:val="20"/>
              </w:rPr>
              <w:t>unusually</w:t>
            </w:r>
            <w:r w:rsidR="00DB4344">
              <w:rPr>
                <w:sz w:val="20"/>
                <w:szCs w:val="20"/>
              </w:rPr>
              <w:t xml:space="preserve"> high/low grade distributions. </w:t>
            </w:r>
            <w:r>
              <w:rPr>
                <w:sz w:val="20"/>
                <w:szCs w:val="20"/>
              </w:rPr>
              <w:t xml:space="preserve">If so, dig deeper into gradebook practices and student performance.  </w:t>
            </w:r>
          </w:p>
          <w:p w14:paraId="3FC34001" w14:textId="01552DC2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any courses or grades with a strong disparity in % of students with IEPs vs. without IEPs failing and intervene as necessary. </w:t>
            </w:r>
          </w:p>
          <w:p w14:paraId="407B473F" w14:textId="78DE34E0" w:rsidR="00A74BF0" w:rsidRPr="0062773E" w:rsidRDefault="00A74BF0" w:rsidP="00DB43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scholars who</w:t>
            </w:r>
            <w:r w:rsidR="00DB4344">
              <w:rPr>
                <w:sz w:val="20"/>
                <w:szCs w:val="20"/>
              </w:rPr>
              <w:t xml:space="preserve"> are at risk of failing courses</w:t>
            </w:r>
          </w:p>
        </w:tc>
      </w:tr>
      <w:tr w:rsidR="00A74BF0" w:rsidRPr="005156F1" w14:paraId="0D36B654" w14:textId="77777777" w:rsidTr="009D1CAA">
        <w:trPr>
          <w:cantSplit/>
          <w:trHeight w:val="332"/>
        </w:trPr>
        <w:tc>
          <w:tcPr>
            <w:tcW w:w="1908" w:type="dxa"/>
            <w:shd w:val="clear" w:color="auto" w:fill="D9D9D9" w:themeFill="background1" w:themeFillShade="D9"/>
          </w:tcPr>
          <w:p w14:paraId="5DA73B6C" w14:textId="5F257A12" w:rsidR="00A74BF0" w:rsidRDefault="00A77BDB" w:rsidP="009D1CAA">
            <w:pPr>
              <w:rPr>
                <w:b/>
              </w:rPr>
            </w:pPr>
            <w:r>
              <w:rPr>
                <w:b/>
              </w:rPr>
              <w:t>Observation</w:t>
            </w:r>
            <w:r w:rsidR="00A74BF0">
              <w:rPr>
                <w:b/>
              </w:rPr>
              <w:t xml:space="preserve"> Tracker Data</w:t>
            </w:r>
          </w:p>
        </w:tc>
        <w:tc>
          <w:tcPr>
            <w:tcW w:w="3150" w:type="dxa"/>
          </w:tcPr>
          <w:p w14:paraId="739F8FAC" w14:textId="77777777" w:rsidR="00A74BF0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Observation  Summary</w:t>
            </w:r>
          </w:p>
          <w:p w14:paraId="4B57B9D6" w14:textId="77777777" w:rsidR="00A74BF0" w:rsidRPr="00DB0931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AF Essentials Summary</w:t>
            </w:r>
          </w:p>
        </w:tc>
        <w:tc>
          <w:tcPr>
            <w:tcW w:w="1710" w:type="dxa"/>
          </w:tcPr>
          <w:p w14:paraId="7F81266C" w14:textId="77777777" w:rsidR="00A74BF0" w:rsidRPr="00DB0931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 2 weeks- monthly</w:t>
            </w:r>
          </w:p>
        </w:tc>
        <w:tc>
          <w:tcPr>
            <w:tcW w:w="7848" w:type="dxa"/>
          </w:tcPr>
          <w:p w14:paraId="18ABFBB7" w14:textId="77777777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if you are consistently observing the teachers in your portfolio</w:t>
            </w:r>
          </w:p>
          <w:p w14:paraId="18E46656" w14:textId="77777777" w:rsidR="00A74BF0" w:rsidRPr="005156F1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trends in teacher needs to inform upcoming PD</w:t>
            </w:r>
          </w:p>
        </w:tc>
      </w:tr>
      <w:tr w:rsidR="00A74BF0" w:rsidRPr="00D05F05" w14:paraId="466233EA" w14:textId="77777777" w:rsidTr="009D1CAA">
        <w:trPr>
          <w:cantSplit/>
          <w:trHeight w:val="1134"/>
        </w:trPr>
        <w:tc>
          <w:tcPr>
            <w:tcW w:w="1908" w:type="dxa"/>
            <w:shd w:val="clear" w:color="auto" w:fill="D9D9D9" w:themeFill="background1" w:themeFillShade="D9"/>
          </w:tcPr>
          <w:p w14:paraId="06FD7A21" w14:textId="77777777" w:rsidR="00A74BF0" w:rsidRPr="002156FE" w:rsidRDefault="00A74BF0" w:rsidP="009D1CAA">
            <w:pPr>
              <w:rPr>
                <w:b/>
              </w:rPr>
            </w:pPr>
            <w:r>
              <w:rPr>
                <w:b/>
              </w:rPr>
              <w:lastRenderedPageBreak/>
              <w:t>IA Data</w:t>
            </w:r>
          </w:p>
          <w:p w14:paraId="4542EDA6" w14:textId="77777777" w:rsidR="00A74BF0" w:rsidRPr="002156FE" w:rsidRDefault="00A74BF0" w:rsidP="009D1CAA">
            <w:pPr>
              <w:rPr>
                <w:b/>
              </w:rPr>
            </w:pPr>
          </w:p>
        </w:tc>
        <w:tc>
          <w:tcPr>
            <w:tcW w:w="3150" w:type="dxa"/>
          </w:tcPr>
          <w:p w14:paraId="33A3D2D8" w14:textId="24621623" w:rsidR="00A74BF0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hyperlink r:id="rId11" w:anchor="4" w:history="1">
              <w:r w:rsidRPr="009D1CAA">
                <w:rPr>
                  <w:rStyle w:val="Hyperlink"/>
                  <w:sz w:val="20"/>
                  <w:szCs w:val="20"/>
                </w:rPr>
                <w:t>IA vs. State Test Scatter Plot</w:t>
              </w:r>
            </w:hyperlink>
          </w:p>
          <w:p w14:paraId="2EDC84A2" w14:textId="50CF481E" w:rsidR="00A74BF0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</w:t>
            </w:r>
            <w:hyperlink r:id="rId12" w:anchor="5" w:history="1">
              <w:r w:rsidR="009D1CAA" w:rsidRPr="009D1CAA">
                <w:rPr>
                  <w:rStyle w:val="Hyperlink"/>
                  <w:sz w:val="20"/>
                  <w:szCs w:val="20"/>
                </w:rPr>
                <w:t xml:space="preserve">Results by </w:t>
              </w:r>
              <w:r w:rsidR="009D1CAA">
                <w:rPr>
                  <w:rStyle w:val="Hyperlink"/>
                  <w:sz w:val="20"/>
                  <w:szCs w:val="20"/>
                </w:rPr>
                <w:t>P</w:t>
              </w:r>
              <w:r w:rsidR="009D1CAA" w:rsidRPr="009D1CAA">
                <w:rPr>
                  <w:rStyle w:val="Hyperlink"/>
                  <w:sz w:val="20"/>
                  <w:szCs w:val="20"/>
                </w:rPr>
                <w:t xml:space="preserve">roficiency </w:t>
              </w:r>
              <w:r w:rsidR="009D1CAA">
                <w:rPr>
                  <w:rStyle w:val="Hyperlink"/>
                  <w:sz w:val="20"/>
                  <w:szCs w:val="20"/>
                </w:rPr>
                <w:t>L</w:t>
              </w:r>
              <w:r w:rsidR="009D1CAA" w:rsidRPr="009D1CAA">
                <w:rPr>
                  <w:rStyle w:val="Hyperlink"/>
                  <w:sz w:val="20"/>
                  <w:szCs w:val="20"/>
                </w:rPr>
                <w:t>evel</w:t>
              </w:r>
            </w:hyperlink>
          </w:p>
          <w:p w14:paraId="5CD8FE5C" w14:textId="407062A2" w:rsidR="00A74BF0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hyperlink r:id="rId13" w:anchor="6" w:history="1">
              <w:r w:rsidR="009D1CAA" w:rsidRPr="009D1CAA">
                <w:rPr>
                  <w:rStyle w:val="Hyperlink"/>
                  <w:sz w:val="20"/>
                  <w:szCs w:val="20"/>
                </w:rPr>
                <w:t>Performance by Question</w:t>
              </w:r>
            </w:hyperlink>
          </w:p>
          <w:p w14:paraId="3284C5B5" w14:textId="77777777" w:rsidR="00A74BF0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Test Item and Error Analysis w/ Student Work (Helpful for all content areas- especially ELA)</w:t>
            </w:r>
          </w:p>
          <w:p w14:paraId="0BA30284" w14:textId="3257FEFD" w:rsidR="009D1CAA" w:rsidRDefault="009D1CAA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hyperlink r:id="rId14" w:history="1">
              <w:r w:rsidRPr="009D1CAA">
                <w:rPr>
                  <w:rStyle w:val="Hyperlink"/>
                  <w:sz w:val="20"/>
                  <w:szCs w:val="20"/>
                </w:rPr>
                <w:t>Illuminate DNA Reports</w:t>
              </w:r>
            </w:hyperlink>
          </w:p>
        </w:tc>
        <w:tc>
          <w:tcPr>
            <w:tcW w:w="1710" w:type="dxa"/>
          </w:tcPr>
          <w:p w14:paraId="07A4356F" w14:textId="77777777" w:rsidR="00A74BF0" w:rsidRPr="00443E0F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each IA cycle (3 times/year)</w:t>
            </w:r>
          </w:p>
        </w:tc>
        <w:tc>
          <w:tcPr>
            <w:tcW w:w="7848" w:type="dxa"/>
          </w:tcPr>
          <w:p w14:paraId="41A28EA2" w14:textId="21F8D154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back to evaluate the effectiveness of instruction and progress that scholars are making relative to sim</w:t>
            </w:r>
            <w:r w:rsidR="00531472">
              <w:rPr>
                <w:sz w:val="20"/>
                <w:szCs w:val="20"/>
              </w:rPr>
              <w:t>ilar scholars and other</w:t>
            </w:r>
            <w:r w:rsidR="00DB4344">
              <w:rPr>
                <w:sz w:val="20"/>
                <w:szCs w:val="20"/>
              </w:rPr>
              <w:t xml:space="preserve"> AF</w:t>
            </w:r>
            <w:r w:rsidR="00531472">
              <w:rPr>
                <w:sz w:val="20"/>
                <w:szCs w:val="20"/>
              </w:rPr>
              <w:t xml:space="preserve"> schools</w:t>
            </w:r>
          </w:p>
          <w:p w14:paraId="1446B63E" w14:textId="61833C3C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Dive deep into student performance by passage, standard, </w:t>
            </w:r>
            <w:r w:rsidR="00DB4344">
              <w:rPr>
                <w:sz w:val="20"/>
                <w:szCs w:val="20"/>
              </w:rPr>
              <w:t xml:space="preserve">or </w:t>
            </w:r>
            <w:r>
              <w:rPr>
                <w:sz w:val="20"/>
                <w:szCs w:val="20"/>
              </w:rPr>
              <w:t>question and analyze student work to un</w:t>
            </w:r>
            <w:r w:rsidR="00531472">
              <w:rPr>
                <w:sz w:val="20"/>
                <w:szCs w:val="20"/>
              </w:rPr>
              <w:t>derstand scholar misconceptions</w:t>
            </w:r>
          </w:p>
          <w:p w14:paraId="77CA36BF" w14:textId="77777777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teachers to prioritize key next steps for instruction based on common needs across scholars</w:t>
            </w:r>
          </w:p>
          <w:p w14:paraId="23A32F81" w14:textId="15ADE7A8" w:rsidR="00A74BF0" w:rsidRPr="00D05F05" w:rsidRDefault="00A74BF0" w:rsidP="005314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scholars in need of intervention and make decisions on what to prioritize base</w:t>
            </w:r>
            <w:r w:rsidR="00531472">
              <w:rPr>
                <w:sz w:val="20"/>
                <w:szCs w:val="20"/>
              </w:rPr>
              <w:t>d on their misconceptions/ gaps</w:t>
            </w:r>
          </w:p>
        </w:tc>
      </w:tr>
      <w:tr w:rsidR="00A74BF0" w:rsidRPr="00DB0931" w14:paraId="53053FB6" w14:textId="77777777" w:rsidTr="009D1CAA">
        <w:trPr>
          <w:cantSplit/>
          <w:trHeight w:val="971"/>
        </w:trPr>
        <w:tc>
          <w:tcPr>
            <w:tcW w:w="1908" w:type="dxa"/>
            <w:shd w:val="clear" w:color="auto" w:fill="D9D9D9" w:themeFill="background1" w:themeFillShade="D9"/>
          </w:tcPr>
          <w:p w14:paraId="406E7FDC" w14:textId="77777777" w:rsidR="00A74BF0" w:rsidRDefault="00A74BF0" w:rsidP="009D1CAA">
            <w:pPr>
              <w:rPr>
                <w:b/>
              </w:rPr>
            </w:pPr>
            <w:r>
              <w:rPr>
                <w:b/>
              </w:rPr>
              <w:t xml:space="preserve">Reading Achievement Tracker Data/ RAT </w:t>
            </w:r>
          </w:p>
          <w:p w14:paraId="6A2BEB51" w14:textId="77777777" w:rsidR="00A74BF0" w:rsidRDefault="00A74BF0" w:rsidP="009D1CAA">
            <w:pPr>
              <w:rPr>
                <w:b/>
              </w:rPr>
            </w:pPr>
            <w:r>
              <w:rPr>
                <w:b/>
              </w:rPr>
              <w:t>(K-8)</w:t>
            </w:r>
          </w:p>
          <w:p w14:paraId="31EF7ECF" w14:textId="77777777" w:rsidR="00A74BF0" w:rsidRDefault="00A74BF0" w:rsidP="009D1CAA">
            <w:pPr>
              <w:rPr>
                <w:b/>
              </w:rPr>
            </w:pPr>
          </w:p>
          <w:p w14:paraId="4BE092C1" w14:textId="77777777" w:rsidR="00A74BF0" w:rsidRDefault="00A74BF0" w:rsidP="009D1CAA">
            <w:pPr>
              <w:rPr>
                <w:b/>
              </w:rPr>
            </w:pPr>
            <w:r>
              <w:rPr>
                <w:b/>
              </w:rPr>
              <w:t xml:space="preserve">and </w:t>
            </w:r>
          </w:p>
          <w:p w14:paraId="016AE1DD" w14:textId="77777777" w:rsidR="00A74BF0" w:rsidRDefault="00A74BF0" w:rsidP="009D1CAA">
            <w:pPr>
              <w:rPr>
                <w:b/>
              </w:rPr>
            </w:pPr>
          </w:p>
          <w:p w14:paraId="7C679666" w14:textId="77777777" w:rsidR="00A74BF0" w:rsidRPr="002156FE" w:rsidRDefault="00A74BF0" w:rsidP="009D1CAA">
            <w:pPr>
              <w:rPr>
                <w:b/>
              </w:rPr>
            </w:pPr>
            <w:r>
              <w:rPr>
                <w:b/>
              </w:rPr>
              <w:t>Math Intervention Data (5-8)</w:t>
            </w:r>
          </w:p>
        </w:tc>
        <w:tc>
          <w:tcPr>
            <w:tcW w:w="3150" w:type="dxa"/>
          </w:tcPr>
          <w:p w14:paraId="74804CBF" w14:textId="7BF46B6B" w:rsidR="00531472" w:rsidRDefault="00531472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hyperlink r:id="rId15" w:anchor="2" w:history="1">
              <w:r w:rsidRPr="00531472">
                <w:rPr>
                  <w:rStyle w:val="Hyperlink"/>
                  <w:sz w:val="20"/>
                  <w:szCs w:val="20"/>
                </w:rPr>
                <w:t>Universal Screener Completion Report</w:t>
              </w:r>
            </w:hyperlink>
          </w:p>
          <w:p w14:paraId="3A14D75E" w14:textId="5ADD3D2A" w:rsidR="00A74BF0" w:rsidRDefault="00531472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74BF0">
              <w:rPr>
                <w:sz w:val="20"/>
                <w:szCs w:val="20"/>
              </w:rPr>
              <w:t xml:space="preserve">. </w:t>
            </w:r>
            <w:hyperlink r:id="rId16" w:anchor="12" w:history="1">
              <w:r w:rsidR="00A74BF0" w:rsidRPr="009D1CAA">
                <w:rPr>
                  <w:rStyle w:val="Hyperlink"/>
                  <w:sz w:val="20"/>
                  <w:szCs w:val="20"/>
                </w:rPr>
                <w:t>Current Proficiency Report</w:t>
              </w:r>
            </w:hyperlink>
          </w:p>
          <w:p w14:paraId="4C96FE2D" w14:textId="0FB83AFA" w:rsidR="00A74BF0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hyperlink r:id="rId17" w:anchor="14" w:history="1">
              <w:r w:rsidR="009D1CAA" w:rsidRPr="009D1CAA">
                <w:rPr>
                  <w:rStyle w:val="Hyperlink"/>
                  <w:sz w:val="20"/>
                  <w:szCs w:val="20"/>
                </w:rPr>
                <w:t>RAT Proficiency Over Time</w:t>
              </w:r>
            </w:hyperlink>
          </w:p>
          <w:p w14:paraId="57A1D3B2" w14:textId="6A3F191D" w:rsidR="00A74BF0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18" w:anchor="2" w:history="1">
              <w:r w:rsidR="009D1CAA" w:rsidRPr="009D1CAA">
                <w:rPr>
                  <w:rStyle w:val="Hyperlink"/>
                  <w:sz w:val="20"/>
                  <w:szCs w:val="20"/>
                </w:rPr>
                <w:t>Reading Universal Screener Proficiency</w:t>
              </w:r>
            </w:hyperlink>
          </w:p>
          <w:p w14:paraId="76433B36" w14:textId="5C078CE3" w:rsidR="00A74BF0" w:rsidRPr="00DB0931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hyperlink r:id="rId19" w:anchor="/views/STARMathReport/STARMathReportSummary?:iid=3" w:history="1">
              <w:r w:rsidR="009D1CAA" w:rsidRPr="009D1CAA">
                <w:rPr>
                  <w:rStyle w:val="Hyperlink"/>
                  <w:sz w:val="20"/>
                  <w:szCs w:val="20"/>
                </w:rPr>
                <w:t>STAR Math Report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0C4387DF" w14:textId="77777777" w:rsidR="00A74BF0" w:rsidRPr="00DB0931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Every 6 weeks </w:t>
            </w:r>
          </w:p>
        </w:tc>
        <w:tc>
          <w:tcPr>
            <w:tcW w:w="7848" w:type="dxa"/>
          </w:tcPr>
          <w:p w14:paraId="15C0363A" w14:textId="6A3734A6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 if students are being tested at each point </w:t>
            </w:r>
            <w:r w:rsidR="00DB4344">
              <w:rPr>
                <w:sz w:val="20"/>
                <w:szCs w:val="20"/>
              </w:rPr>
              <w:t>in the year</w:t>
            </w:r>
          </w:p>
          <w:p w14:paraId="09ED1C1A" w14:textId="064F60E7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Given the benchmarks for this point in the year, analyze if grades are on track to hit proficiency </w:t>
            </w:r>
            <w:r w:rsidR="00DB4344">
              <w:rPr>
                <w:sz w:val="20"/>
                <w:szCs w:val="20"/>
              </w:rPr>
              <w:t xml:space="preserve">goals for the end of the year. </w:t>
            </w:r>
            <w:r>
              <w:rPr>
                <w:sz w:val="20"/>
                <w:szCs w:val="20"/>
              </w:rPr>
              <w:t>If they are not, dive deeper into trends to determine what cha</w:t>
            </w:r>
            <w:r w:rsidR="00531472">
              <w:rPr>
                <w:sz w:val="20"/>
                <w:szCs w:val="20"/>
              </w:rPr>
              <w:t xml:space="preserve">nges may need to take place. </w:t>
            </w:r>
          </w:p>
          <w:p w14:paraId="685BBA6E" w14:textId="7B852337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interventions are entered into RAT, evaluate the impact of interventions on stu</w:t>
            </w:r>
            <w:r w:rsidR="00DB4344">
              <w:rPr>
                <w:sz w:val="20"/>
                <w:szCs w:val="20"/>
              </w:rPr>
              <w:t xml:space="preserve">dent growth. </w:t>
            </w:r>
            <w:r>
              <w:rPr>
                <w:sz w:val="20"/>
                <w:szCs w:val="20"/>
              </w:rPr>
              <w:t xml:space="preserve">Students in interventions should be growing </w:t>
            </w:r>
            <w:r w:rsidR="00DB4344">
              <w:rPr>
                <w:sz w:val="20"/>
                <w:szCs w:val="20"/>
              </w:rPr>
              <w:t>faster</w:t>
            </w:r>
            <w:r>
              <w:rPr>
                <w:sz w:val="20"/>
                <w:szCs w:val="20"/>
              </w:rPr>
              <w:t xml:space="preserve"> than st</w:t>
            </w:r>
            <w:r w:rsidR="00531472">
              <w:rPr>
                <w:sz w:val="20"/>
                <w:szCs w:val="20"/>
              </w:rPr>
              <w:t xml:space="preserve">udents </w:t>
            </w:r>
            <w:r w:rsidR="00DB4344">
              <w:rPr>
                <w:sz w:val="20"/>
                <w:szCs w:val="20"/>
              </w:rPr>
              <w:t>who are not.</w:t>
            </w:r>
          </w:p>
          <w:p w14:paraId="220BF584" w14:textId="7AB5CBF4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students who may be in need of interventions and use the “factor holding back” to determine which intervention i</w:t>
            </w:r>
            <w:r w:rsidR="00531472">
              <w:rPr>
                <w:sz w:val="20"/>
                <w:szCs w:val="20"/>
              </w:rPr>
              <w:t>s the best fit for students.</w:t>
            </w:r>
          </w:p>
          <w:p w14:paraId="3FD67D7A" w14:textId="6AC9E513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 w:rsidRPr="00EE1A75">
              <w:rPr>
                <w:sz w:val="20"/>
                <w:szCs w:val="20"/>
              </w:rPr>
              <w:t>Step</w:t>
            </w:r>
            <w:r w:rsidR="00531472">
              <w:rPr>
                <w:sz w:val="20"/>
                <w:szCs w:val="20"/>
              </w:rPr>
              <w:t xml:space="preserve"> </w:t>
            </w:r>
            <w:r w:rsidRPr="00EE1A75">
              <w:rPr>
                <w:sz w:val="20"/>
                <w:szCs w:val="20"/>
              </w:rPr>
              <w:t>back to ensure all students that need intervention are in the right intervention</w:t>
            </w:r>
          </w:p>
          <w:p w14:paraId="229897D3" w14:textId="3DA4E333" w:rsidR="00A74BF0" w:rsidRPr="00EE1A75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 w:rsidRPr="00EE1A75">
              <w:rPr>
                <w:sz w:val="20"/>
                <w:szCs w:val="20"/>
              </w:rPr>
              <w:t>Use the da</w:t>
            </w:r>
            <w:r>
              <w:rPr>
                <w:sz w:val="20"/>
                <w:szCs w:val="20"/>
              </w:rPr>
              <w:t>ta to inform intervention grouping</w:t>
            </w:r>
          </w:p>
        </w:tc>
      </w:tr>
      <w:tr w:rsidR="00A74BF0" w14:paraId="764146A4" w14:textId="77777777" w:rsidTr="009D1CAA">
        <w:trPr>
          <w:cantSplit/>
          <w:trHeight w:val="332"/>
        </w:trPr>
        <w:tc>
          <w:tcPr>
            <w:tcW w:w="1908" w:type="dxa"/>
            <w:shd w:val="clear" w:color="auto" w:fill="D9D9D9" w:themeFill="background1" w:themeFillShade="D9"/>
          </w:tcPr>
          <w:p w14:paraId="0B69FC97" w14:textId="77777777" w:rsidR="00A74BF0" w:rsidRDefault="00A74BF0" w:rsidP="009D1CAA">
            <w:pPr>
              <w:rPr>
                <w:b/>
              </w:rPr>
            </w:pPr>
            <w:r>
              <w:rPr>
                <w:b/>
              </w:rPr>
              <w:t>Promotion in Doubt Data</w:t>
            </w:r>
          </w:p>
        </w:tc>
        <w:tc>
          <w:tcPr>
            <w:tcW w:w="3150" w:type="dxa"/>
          </w:tcPr>
          <w:p w14:paraId="7C0BEDAA" w14:textId="561C4583" w:rsidR="00A74BF0" w:rsidRPr="00DB0931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9D1CAA">
              <w:rPr>
                <w:sz w:val="20"/>
                <w:szCs w:val="20"/>
              </w:rPr>
              <w:t>PID Report (</w:t>
            </w:r>
            <w:hyperlink r:id="rId20" w:history="1">
              <w:r w:rsidR="009D1CAA" w:rsidRPr="009D1CAA">
                <w:rPr>
                  <w:rStyle w:val="Hyperlink"/>
                  <w:sz w:val="20"/>
                  <w:szCs w:val="20"/>
                </w:rPr>
                <w:t>ES</w:t>
              </w:r>
            </w:hyperlink>
            <w:r w:rsidR="009D1CAA">
              <w:rPr>
                <w:sz w:val="20"/>
                <w:szCs w:val="20"/>
              </w:rPr>
              <w:t xml:space="preserve">, </w:t>
            </w:r>
            <w:hyperlink r:id="rId21" w:history="1">
              <w:r w:rsidR="009D1CAA" w:rsidRPr="009D1CAA">
                <w:rPr>
                  <w:rStyle w:val="Hyperlink"/>
                  <w:sz w:val="20"/>
                  <w:szCs w:val="20"/>
                </w:rPr>
                <w:t>MS</w:t>
              </w:r>
            </w:hyperlink>
            <w:r w:rsidR="009D1CAA">
              <w:rPr>
                <w:sz w:val="20"/>
                <w:szCs w:val="20"/>
              </w:rPr>
              <w:t xml:space="preserve">, </w:t>
            </w:r>
            <w:hyperlink r:id="rId22" w:anchor="4" w:history="1">
              <w:r w:rsidR="009D1CAA" w:rsidRPr="009D1CAA">
                <w:rPr>
                  <w:rStyle w:val="Hyperlink"/>
                  <w:sz w:val="20"/>
                  <w:szCs w:val="20"/>
                </w:rPr>
                <w:t>HS</w:t>
              </w:r>
            </w:hyperlink>
            <w:r w:rsidR="009D1CAA">
              <w:rPr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70A99787" w14:textId="77777777" w:rsidR="00A74BF0" w:rsidRPr="00DB0931" w:rsidRDefault="00A74BF0" w:rsidP="009D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the end of each trimester/quarter (3-4 times/year)</w:t>
            </w:r>
          </w:p>
        </w:tc>
        <w:tc>
          <w:tcPr>
            <w:tcW w:w="7848" w:type="dxa"/>
          </w:tcPr>
          <w:p w14:paraId="35271127" w14:textId="77777777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 the AD, identify grades that are outliers in the number of scholars who are PID </w:t>
            </w:r>
          </w:p>
          <w:p w14:paraId="36C9C96E" w14:textId="3236C87A" w:rsidR="00A74BF0" w:rsidRDefault="00A74BF0" w:rsidP="00A74B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 w:hanging="2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 the AD, identify scholars whose promotion is in doubt and diagnose why in order to build a </w:t>
            </w:r>
            <w:r w:rsidR="006A4488">
              <w:rPr>
                <w:sz w:val="20"/>
                <w:szCs w:val="20"/>
              </w:rPr>
              <w:t>support plan and communicate to parents</w:t>
            </w:r>
          </w:p>
        </w:tc>
      </w:tr>
    </w:tbl>
    <w:p w14:paraId="413FFEEF" w14:textId="77777777" w:rsidR="002937EE" w:rsidRPr="002937EE" w:rsidRDefault="002937EE" w:rsidP="00A74BF0">
      <w:pPr>
        <w:rPr>
          <w:b/>
        </w:rPr>
      </w:pPr>
    </w:p>
    <w:sectPr w:rsidR="002937EE" w:rsidRPr="002937EE" w:rsidSect="002937E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76003"/>
    <w:multiLevelType w:val="hybridMultilevel"/>
    <w:tmpl w:val="2A184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4A796D"/>
    <w:multiLevelType w:val="hybridMultilevel"/>
    <w:tmpl w:val="5F34C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B1350"/>
    <w:multiLevelType w:val="hybridMultilevel"/>
    <w:tmpl w:val="785E5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9050EF"/>
    <w:multiLevelType w:val="hybridMultilevel"/>
    <w:tmpl w:val="2C8C4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32170F"/>
    <w:multiLevelType w:val="hybridMultilevel"/>
    <w:tmpl w:val="B3F8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15AEC"/>
    <w:multiLevelType w:val="hybridMultilevel"/>
    <w:tmpl w:val="ADFC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E272B"/>
    <w:multiLevelType w:val="hybridMultilevel"/>
    <w:tmpl w:val="0CC06E1C"/>
    <w:lvl w:ilvl="0" w:tplc="9264AC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D914D6"/>
    <w:multiLevelType w:val="hybridMultilevel"/>
    <w:tmpl w:val="12D2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714CB"/>
    <w:multiLevelType w:val="hybridMultilevel"/>
    <w:tmpl w:val="B44A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A6AB8"/>
    <w:multiLevelType w:val="hybridMultilevel"/>
    <w:tmpl w:val="31C6CEA0"/>
    <w:lvl w:ilvl="0" w:tplc="8B22F8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3510F"/>
    <w:multiLevelType w:val="hybridMultilevel"/>
    <w:tmpl w:val="834695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EE"/>
    <w:rsid w:val="0002364A"/>
    <w:rsid w:val="00027188"/>
    <w:rsid w:val="00035458"/>
    <w:rsid w:val="000C1A4A"/>
    <w:rsid w:val="000F266C"/>
    <w:rsid w:val="0011480C"/>
    <w:rsid w:val="001262B2"/>
    <w:rsid w:val="001305D7"/>
    <w:rsid w:val="0014223C"/>
    <w:rsid w:val="0014659A"/>
    <w:rsid w:val="001770A9"/>
    <w:rsid w:val="001B0C03"/>
    <w:rsid w:val="001C02A2"/>
    <w:rsid w:val="001D4292"/>
    <w:rsid w:val="001D55B0"/>
    <w:rsid w:val="00204438"/>
    <w:rsid w:val="002240C7"/>
    <w:rsid w:val="002342CB"/>
    <w:rsid w:val="002457A0"/>
    <w:rsid w:val="0027746F"/>
    <w:rsid w:val="002937EE"/>
    <w:rsid w:val="00302F1D"/>
    <w:rsid w:val="00303E23"/>
    <w:rsid w:val="003069A0"/>
    <w:rsid w:val="00306D2D"/>
    <w:rsid w:val="00334D8D"/>
    <w:rsid w:val="003737B3"/>
    <w:rsid w:val="003A563F"/>
    <w:rsid w:val="004158D3"/>
    <w:rsid w:val="00472A7B"/>
    <w:rsid w:val="004967AC"/>
    <w:rsid w:val="004B3CBE"/>
    <w:rsid w:val="004C3AFD"/>
    <w:rsid w:val="00531472"/>
    <w:rsid w:val="0054550D"/>
    <w:rsid w:val="00583535"/>
    <w:rsid w:val="005970FE"/>
    <w:rsid w:val="00622708"/>
    <w:rsid w:val="006A4488"/>
    <w:rsid w:val="006C025F"/>
    <w:rsid w:val="006C64BD"/>
    <w:rsid w:val="006D27DD"/>
    <w:rsid w:val="00703587"/>
    <w:rsid w:val="007611AB"/>
    <w:rsid w:val="0077281D"/>
    <w:rsid w:val="00785D64"/>
    <w:rsid w:val="0079488B"/>
    <w:rsid w:val="007B053B"/>
    <w:rsid w:val="007C3F50"/>
    <w:rsid w:val="00842ED8"/>
    <w:rsid w:val="00843218"/>
    <w:rsid w:val="008434C3"/>
    <w:rsid w:val="00860C04"/>
    <w:rsid w:val="00863C4E"/>
    <w:rsid w:val="0089714A"/>
    <w:rsid w:val="008A109C"/>
    <w:rsid w:val="008E19AA"/>
    <w:rsid w:val="009656A8"/>
    <w:rsid w:val="009A32AF"/>
    <w:rsid w:val="009B72E7"/>
    <w:rsid w:val="009C5A67"/>
    <w:rsid w:val="009D1CAA"/>
    <w:rsid w:val="009D3F22"/>
    <w:rsid w:val="009F454E"/>
    <w:rsid w:val="00A11CB5"/>
    <w:rsid w:val="00A1289D"/>
    <w:rsid w:val="00A21582"/>
    <w:rsid w:val="00A3408D"/>
    <w:rsid w:val="00A434BD"/>
    <w:rsid w:val="00A66267"/>
    <w:rsid w:val="00A74BF0"/>
    <w:rsid w:val="00A77BDB"/>
    <w:rsid w:val="00AA39ED"/>
    <w:rsid w:val="00B3511A"/>
    <w:rsid w:val="00BF6312"/>
    <w:rsid w:val="00C20BD5"/>
    <w:rsid w:val="00C30108"/>
    <w:rsid w:val="00C33B06"/>
    <w:rsid w:val="00C366E5"/>
    <w:rsid w:val="00C42121"/>
    <w:rsid w:val="00C7193D"/>
    <w:rsid w:val="00C82CBB"/>
    <w:rsid w:val="00C85F8F"/>
    <w:rsid w:val="00C92CD1"/>
    <w:rsid w:val="00CB3555"/>
    <w:rsid w:val="00CC4A26"/>
    <w:rsid w:val="00D33A80"/>
    <w:rsid w:val="00D50773"/>
    <w:rsid w:val="00D514D0"/>
    <w:rsid w:val="00D52F00"/>
    <w:rsid w:val="00D85A6A"/>
    <w:rsid w:val="00DA43BE"/>
    <w:rsid w:val="00DB4344"/>
    <w:rsid w:val="00DE3DBC"/>
    <w:rsid w:val="00DF2124"/>
    <w:rsid w:val="00DF3333"/>
    <w:rsid w:val="00E07015"/>
    <w:rsid w:val="00E175D0"/>
    <w:rsid w:val="00EB54DB"/>
    <w:rsid w:val="00EE049E"/>
    <w:rsid w:val="00F16523"/>
    <w:rsid w:val="00F446B0"/>
    <w:rsid w:val="00F4563F"/>
    <w:rsid w:val="00F94FFD"/>
    <w:rsid w:val="00FA7E89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2DC2EF"/>
  <w15:docId w15:val="{764A2389-D7D4-4CDC-B553-40F08B3F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4BF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E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12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69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1C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leau.achievementfirst.org/views/WeeklyQuizReport/Summary?:embed=yes&amp;:toolbar=top" TargetMode="External"/><Relationship Id="rId13" Type="http://schemas.openxmlformats.org/officeDocument/2006/relationships/hyperlink" Target="https://tableau.achievementfirst.org/views/IAQuestion-StandardReport/IAPerformancebyTestQuestionorStandard?:embed=yes&amp;:toolbar=top" TargetMode="External"/><Relationship Id="rId18" Type="http://schemas.openxmlformats.org/officeDocument/2006/relationships/hyperlink" Target="https://tableau.achievementfirst.org/views/ReadingFluencyUniversalScreeners/Proficiency?:embed=yes&amp;:toolbar=top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yperlink" Target="https://tableau.achievementfirst.org/views/MiddleSchoolPID2015/MiddleSchoolPID?:embed=yes&amp;:toolbar=top" TargetMode="External"/><Relationship Id="rId7" Type="http://schemas.openxmlformats.org/officeDocument/2006/relationships/hyperlink" Target="https://tableau.achievementfirst.org/views/StudentTrends/Support?:embed=yes" TargetMode="External"/><Relationship Id="rId12" Type="http://schemas.openxmlformats.org/officeDocument/2006/relationships/hyperlink" Target="https://tableau.achievementfirst.org/views/IASummary/ResultsbyProficiencyLevel?:embed=yes&amp;:toolbar=top" TargetMode="External"/><Relationship Id="rId17" Type="http://schemas.openxmlformats.org/officeDocument/2006/relationships/hyperlink" Target="https://tableau.achievementfirst.org/views/RATProficiencyReport/ProficiencyOverTime?:embed=yes&amp;:toolbar=top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tableau.achievementfirst.org/views/RATProficiencyReport/CurrentProficiency?:embed=yes&amp;:toolbar=top" TargetMode="External"/><Relationship Id="rId20" Type="http://schemas.openxmlformats.org/officeDocument/2006/relationships/hyperlink" Target="https://tableau.achievementfirst.org/views/ElementarySchoolPID2015/GradesK-2?:embed=yes&amp;:toolbar=to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ableau.achievementfirst.org/views/Suspensions/Goals?:embed=yes&amp;:toolbar=top" TargetMode="External"/><Relationship Id="rId11" Type="http://schemas.openxmlformats.org/officeDocument/2006/relationships/hyperlink" Target="https://tableau.achievementfirst.org/views/IAScatterReport/ScholarScatter?:embed=yes&amp;:toolbar=to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ableau.achievementfirst.org/views/STARCompletionReport/STARFluency?:embed=yes&amp;:toolbar=top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5.xml"/><Relationship Id="rId10" Type="http://schemas.openxmlformats.org/officeDocument/2006/relationships/hyperlink" Target="https://tableau.achievementfirst.org/views/GPAKPI/Goals?:embed=yes&amp;:toolbar=top" TargetMode="External"/><Relationship Id="rId19" Type="http://schemas.openxmlformats.org/officeDocument/2006/relationships/hyperlink" Target="https://tableau.achievementfirs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bleau.achievementfirst.org/views/GradeBookKPI/StudentLevelGrades?:embed=yes&amp;:toolbar=top" TargetMode="External"/><Relationship Id="rId14" Type="http://schemas.openxmlformats.org/officeDocument/2006/relationships/hyperlink" Target="https://achievementfirst.illuminateed.com/live/?prev_page=DashboardPage&amp;page=SisLogin" TargetMode="External"/><Relationship Id="rId22" Type="http://schemas.openxmlformats.org/officeDocument/2006/relationships/hyperlink" Target="https://tableau.achievementfirst.org/views/HighSchoolPID2015/HighSchoolPID?:embed=yes&amp;:toolbar=top" TargetMode="Externa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dcca1e62-103a-430e-899b-183a48ecb53a" xsi:nil="true"/>
    <_dlc_DocId xmlns="0676cee9-fd60-4c1c-9e5b-5120ec0b3480">SFDVX333FYKN-688-119</_dlc_DocId>
    <_dlc_DocIdUrl xmlns="0676cee9-fd60-4c1c-9e5b-5120ec0b3480">
      <Url>https://manyminds.achievementfirst.org/sites/NetworkSupport/AcademicOps/ReadinessHub/_layouts/15/DocIdRedir.aspx?ID=SFDVX333FYKN-688-119</Url>
      <Description>SFDVX333FYKN-688-119</Description>
    </_dlc_DocIdUrl>
  </documentManagement>
</p:properties>
</file>

<file path=customXml/itemProps1.xml><?xml version="1.0" encoding="utf-8"?>
<ds:datastoreItem xmlns:ds="http://schemas.openxmlformats.org/officeDocument/2006/customXml" ds:itemID="{45D26890-7EBD-499B-9EC0-4DEEAC51CD3B}"/>
</file>

<file path=customXml/itemProps2.xml><?xml version="1.0" encoding="utf-8"?>
<ds:datastoreItem xmlns:ds="http://schemas.openxmlformats.org/officeDocument/2006/customXml" ds:itemID="{FE96749B-42A6-475B-8FEC-579CBBA9B6C5}"/>
</file>

<file path=customXml/itemProps3.xml><?xml version="1.0" encoding="utf-8"?>
<ds:datastoreItem xmlns:ds="http://schemas.openxmlformats.org/officeDocument/2006/customXml" ds:itemID="{BE18DDC2-75D9-411E-AB2E-3EF6B60D24E3}"/>
</file>

<file path=customXml/itemProps4.xml><?xml version="1.0" encoding="utf-8"?>
<ds:datastoreItem xmlns:ds="http://schemas.openxmlformats.org/officeDocument/2006/customXml" ds:itemID="{25272AA9-C27C-4DEF-BF88-F244D0E2B97C}"/>
</file>

<file path=customXml/itemProps5.xml><?xml version="1.0" encoding="utf-8"?>
<ds:datastoreItem xmlns:ds="http://schemas.openxmlformats.org/officeDocument/2006/customXml" ds:itemID="{9F866825-9C49-4C86-B817-892BE8648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3552</Words>
  <Characters>20252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Achievement First</Company>
  <LinksUpToDate>false</LinksUpToDate>
  <CharactersWithSpaces>23757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Gallagher</dc:creator>
  <cp:lastModifiedBy>Christina Ann Braganza</cp:lastModifiedBy>
  <cp:revision>2</cp:revision>
  <dcterms:created xsi:type="dcterms:W3CDTF">2016-03-10T18:49:00Z</dcterms:created>
  <dcterms:modified xsi:type="dcterms:W3CDTF">2016-03-10T18:49:00Z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DocIdItemGuid">
    <vt:lpwstr>2176e5e5-36e7-4f6b-9219-d9ac7950fc4e</vt:lpwstr>
  </property>
</Properties>
</file>